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7318"/>
      </w:tblGrid>
      <w:tr w:rsidR="00FB2E1F" w14:paraId="32D9AFAA" w14:textId="77777777" w:rsidTr="00EB4511">
        <w:trPr>
          <w:cantSplit/>
          <w:tblHeader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20152D" w14:textId="47A01110" w:rsidR="00FB2E1F" w:rsidRPr="0009429F" w:rsidRDefault="0009429F" w:rsidP="00FB2E1F">
            <w:pPr>
              <w:ind w:left="0"/>
              <w:rPr>
                <w:sz w:val="24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4"/>
                <w:szCs w:val="22"/>
              </w:rPr>
              <w:t>ACRONYM/TERM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90676" w14:textId="182676B5" w:rsidR="00FB2E1F" w:rsidRPr="0009429F" w:rsidRDefault="0009429F" w:rsidP="00FB2E1F">
            <w:pPr>
              <w:ind w:left="0"/>
              <w:rPr>
                <w:sz w:val="24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4"/>
                <w:szCs w:val="22"/>
              </w:rPr>
              <w:t>MEANING</w:t>
            </w:r>
          </w:p>
        </w:tc>
      </w:tr>
      <w:tr w:rsidR="00FB2E1F" w14:paraId="4854C213" w14:textId="77777777" w:rsidTr="00EB4511">
        <w:trPr>
          <w:cantSplit/>
        </w:trPr>
        <w:tc>
          <w:tcPr>
            <w:tcW w:w="2896" w:type="dxa"/>
            <w:vAlign w:val="center"/>
          </w:tcPr>
          <w:p w14:paraId="6434DB95" w14:textId="6B500E2B" w:rsidR="00FB2E1F" w:rsidRDefault="00FB2E1F" w:rsidP="00FB2E1F">
            <w:pPr>
              <w:ind w:left="0"/>
            </w:pP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ACK message</w:t>
            </w:r>
          </w:p>
        </w:tc>
        <w:tc>
          <w:tcPr>
            <w:tcW w:w="7318" w:type="dxa"/>
            <w:vAlign w:val="center"/>
          </w:tcPr>
          <w:p w14:paraId="5AD8C043" w14:textId="793C7709" w:rsidR="00FB2E1F" w:rsidRDefault="00FB2E1F" w:rsidP="00FB2E1F">
            <w:pPr>
              <w:ind w:left="0"/>
            </w:pPr>
            <w:r w:rsidRPr="007A104C">
              <w:rPr>
                <w:rFonts w:asciiTheme="minorHAnsi" w:hAnsiTheme="minorHAnsi"/>
                <w:sz w:val="22"/>
                <w:szCs w:val="22"/>
              </w:rPr>
              <w:t xml:space="preserve">When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>IIS receive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 xml:space="preserve"> and process</w:t>
            </w:r>
            <w:r>
              <w:rPr>
                <w:rFonts w:asciiTheme="minorHAnsi" w:hAnsiTheme="minorHAnsi"/>
                <w:sz w:val="22"/>
                <w:szCs w:val="22"/>
              </w:rPr>
              <w:t>es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 xml:space="preserve"> the VXU message,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it 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>respond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 xml:space="preserve"> with an acknowledgement message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back to the sender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B2E1F" w14:paraId="7DF36166" w14:textId="77777777" w:rsidTr="00EB4511">
        <w:trPr>
          <w:cantSplit/>
        </w:trPr>
        <w:tc>
          <w:tcPr>
            <w:tcW w:w="2896" w:type="dxa"/>
            <w:vAlign w:val="center"/>
          </w:tcPr>
          <w:p w14:paraId="76A636C7" w14:textId="1FAF985F" w:rsidR="00FB2E1F" w:rsidRDefault="00FB2E1F" w:rsidP="00FB2E1F">
            <w:pPr>
              <w:ind w:left="0"/>
            </w:pP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Bi-directional</w:t>
            </w:r>
          </w:p>
        </w:tc>
        <w:tc>
          <w:tcPr>
            <w:tcW w:w="7318" w:type="dxa"/>
            <w:vAlign w:val="center"/>
          </w:tcPr>
          <w:p w14:paraId="6190755D" w14:textId="33F85140" w:rsidR="00FB2E1F" w:rsidRDefault="00FB2E1F" w:rsidP="00847347">
            <w:pPr>
              <w:ind w:left="0"/>
            </w:pPr>
            <w:r w:rsidRPr="007A104C">
              <w:rPr>
                <w:rFonts w:asciiTheme="minorHAnsi" w:hAnsiTheme="minorHAnsi"/>
                <w:sz w:val="22"/>
                <w:szCs w:val="22"/>
              </w:rPr>
              <w:t>Electronic data exchange between an Electronic Health Record (EHR) system and IIS</w:t>
            </w:r>
            <w:r w:rsidR="00847347">
              <w:rPr>
                <w:rFonts w:asciiTheme="minorHAnsi" w:hAnsiTheme="minorHAnsi"/>
                <w:sz w:val="22"/>
                <w:szCs w:val="22"/>
              </w:rPr>
              <w:t xml:space="preserve"> where the EHR reports administered doses to the IIS (VXU) and can electronically request patient records (complete immunization history) from the IIS (query/response)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>. (</w:t>
            </w:r>
            <w:r w:rsidRPr="007A104C">
              <w:rPr>
                <w:rFonts w:asciiTheme="minorHAnsi" w:hAnsiTheme="minorHAnsi"/>
                <w:i/>
                <w:sz w:val="22"/>
                <w:szCs w:val="22"/>
              </w:rPr>
              <w:t>Note: uni-directional is EHR reporting to the IIS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only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FB2E1F" w14:paraId="4ABFAE2F" w14:textId="77777777" w:rsidTr="00EB4511">
        <w:trPr>
          <w:cantSplit/>
        </w:trPr>
        <w:tc>
          <w:tcPr>
            <w:tcW w:w="2896" w:type="dxa"/>
            <w:vAlign w:val="center"/>
          </w:tcPr>
          <w:p w14:paraId="7CEC867A" w14:textId="60E4D710" w:rsidR="00FB2E1F" w:rsidRDefault="00FB2E1F" w:rsidP="00FB2E1F">
            <w:pPr>
              <w:ind w:left="0"/>
            </w:pP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CVX</w:t>
            </w:r>
          </w:p>
        </w:tc>
        <w:tc>
          <w:tcPr>
            <w:tcW w:w="7318" w:type="dxa"/>
            <w:vAlign w:val="center"/>
          </w:tcPr>
          <w:p w14:paraId="18F0036A" w14:textId="5378E82F" w:rsidR="00FB2E1F" w:rsidRDefault="00FB2E1F" w:rsidP="00A404BC">
            <w:pPr>
              <w:ind w:left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Vaccine Administered.</w:t>
            </w:r>
            <w:r w:rsidR="00847347">
              <w:rPr>
                <w:rFonts w:asciiTheme="minorHAnsi" w:hAnsiTheme="minorHAnsi" w:cstheme="minorHAnsi"/>
                <w:sz w:val="22"/>
                <w:szCs w:val="22"/>
              </w:rPr>
              <w:t xml:space="preserve"> A c</w:t>
            </w:r>
            <w:r w:rsidR="00381E8A">
              <w:rPr>
                <w:rFonts w:asciiTheme="minorHAnsi" w:hAnsiTheme="minorHAnsi" w:cstheme="minorHAnsi"/>
                <w:sz w:val="22"/>
                <w:szCs w:val="22"/>
              </w:rPr>
              <w:t>ode set maintained by the CDC that</w:t>
            </w:r>
            <w:r w:rsidR="00847347">
              <w:rPr>
                <w:rFonts w:asciiTheme="minorHAnsi" w:hAnsiTheme="minorHAnsi" w:cstheme="minorHAnsi"/>
                <w:sz w:val="22"/>
                <w:szCs w:val="22"/>
              </w:rPr>
              <w:t xml:space="preserve"> represent</w:t>
            </w:r>
            <w:r w:rsidR="00381E8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7347">
              <w:rPr>
                <w:rFonts w:asciiTheme="minorHAnsi" w:hAnsiTheme="minorHAnsi" w:cstheme="minorHAnsi"/>
                <w:sz w:val="22"/>
                <w:szCs w:val="22"/>
              </w:rPr>
              <w:t xml:space="preserve"> all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active and inactive vaccines available in the US.  CVX codes for inactive vaccines allow for transmission of historical immunization records.</w:t>
            </w:r>
          </w:p>
        </w:tc>
      </w:tr>
      <w:tr w:rsidR="00FB2E1F" w14:paraId="154FAF7B" w14:textId="77777777" w:rsidTr="00EB4511">
        <w:trPr>
          <w:cantSplit/>
        </w:trPr>
        <w:tc>
          <w:tcPr>
            <w:tcW w:w="2896" w:type="dxa"/>
            <w:vAlign w:val="center"/>
          </w:tcPr>
          <w:p w14:paraId="6CF76255" w14:textId="007E07FA" w:rsidR="00FB2E1F" w:rsidRDefault="00FB2E1F" w:rsidP="00283DD1">
            <w:pPr>
              <w:ind w:left="0"/>
            </w:pPr>
            <w:bookmarkStart w:id="0" w:name="_GoBack"/>
            <w:bookmarkEnd w:id="0"/>
            <w:r w:rsidRPr="007A104C">
              <w:rPr>
                <w:rFonts w:asciiTheme="minorHAnsi" w:hAnsiTheme="minorHAnsi" w:cstheme="minorHAnsi"/>
                <w:sz w:val="22"/>
                <w:szCs w:val="22"/>
              </w:rPr>
              <w:t xml:space="preserve">EHR </w:t>
            </w:r>
            <w:r w:rsidR="00283DD1">
              <w:rPr>
                <w:rFonts w:asciiTheme="minorHAnsi" w:hAnsiTheme="minorHAnsi" w:cstheme="minorHAnsi"/>
                <w:sz w:val="22"/>
                <w:szCs w:val="22"/>
              </w:rPr>
              <w:t xml:space="preserve"> or EMR</w:t>
            </w:r>
          </w:p>
        </w:tc>
        <w:tc>
          <w:tcPr>
            <w:tcW w:w="7318" w:type="dxa"/>
            <w:vAlign w:val="center"/>
          </w:tcPr>
          <w:p w14:paraId="698458CD" w14:textId="71DABAE7" w:rsidR="00FB2E1F" w:rsidRPr="0009429F" w:rsidRDefault="0009429F" w:rsidP="00283DD1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10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Electronic Health Record</w:t>
            </w:r>
            <w:r w:rsidR="00283D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 Electronic Medical Record</w:t>
            </w:r>
            <w:r>
              <w:rPr>
                <w:rFonts w:asciiTheme="minorHAnsi" w:hAnsiTheme="minorHAnsi"/>
                <w:sz w:val="22"/>
                <w:szCs w:val="22"/>
                <w:lang w:val="en"/>
              </w:rPr>
              <w:t>. T</w:t>
            </w:r>
            <w:r w:rsidRPr="0009429F">
              <w:rPr>
                <w:rFonts w:asciiTheme="minorHAnsi" w:hAnsiTheme="minorHAnsi"/>
                <w:sz w:val="22"/>
                <w:szCs w:val="22"/>
                <w:lang w:val="en"/>
              </w:rPr>
              <w:t xml:space="preserve">he </w:t>
            </w:r>
            <w:r w:rsidR="00283DD1" w:rsidRPr="0009429F">
              <w:rPr>
                <w:rFonts w:asciiTheme="minorHAnsi" w:hAnsiTheme="minorHAnsi"/>
                <w:sz w:val="22"/>
                <w:szCs w:val="22"/>
                <w:lang w:val="en"/>
              </w:rPr>
              <w:t>systemati</w:t>
            </w:r>
            <w:r w:rsidR="00283DD1">
              <w:rPr>
                <w:rFonts w:asciiTheme="minorHAnsi" w:hAnsiTheme="minorHAnsi"/>
                <w:sz w:val="22"/>
                <w:szCs w:val="22"/>
                <w:lang w:val="en"/>
              </w:rPr>
              <w:t>c</w:t>
            </w:r>
            <w:r w:rsidR="00283DD1" w:rsidRPr="0009429F">
              <w:rPr>
                <w:rFonts w:asciiTheme="minorHAnsi" w:hAnsiTheme="minorHAnsi"/>
                <w:sz w:val="22"/>
                <w:szCs w:val="22"/>
                <w:lang w:val="en"/>
              </w:rPr>
              <w:t xml:space="preserve"> </w:t>
            </w:r>
            <w:r w:rsidRPr="0009429F">
              <w:rPr>
                <w:rFonts w:asciiTheme="minorHAnsi" w:hAnsiTheme="minorHAnsi"/>
                <w:sz w:val="22"/>
                <w:szCs w:val="22"/>
                <w:lang w:val="en"/>
              </w:rPr>
              <w:t xml:space="preserve">collection of patient and population health information in a digital format. </w:t>
            </w:r>
            <w:r w:rsidR="00283DD1">
              <w:rPr>
                <w:rFonts w:asciiTheme="minorHAnsi" w:hAnsiTheme="minorHAnsi"/>
                <w:sz w:val="22"/>
                <w:szCs w:val="22"/>
                <w:lang w:val="en"/>
              </w:rPr>
              <w:t>EHRs</w:t>
            </w:r>
            <w:r w:rsidR="00283DD1" w:rsidRPr="0009429F">
              <w:rPr>
                <w:rFonts w:asciiTheme="minorHAnsi" w:hAnsiTheme="minorHAnsi"/>
                <w:sz w:val="22"/>
                <w:szCs w:val="22"/>
                <w:lang w:val="en"/>
              </w:rPr>
              <w:t xml:space="preserve"> </w:t>
            </w:r>
            <w:r w:rsidRPr="0009429F">
              <w:rPr>
                <w:rFonts w:asciiTheme="minorHAnsi" w:hAnsiTheme="minorHAnsi"/>
                <w:sz w:val="22"/>
                <w:szCs w:val="22"/>
                <w:lang w:val="en"/>
              </w:rPr>
              <w:t>eliminate the need to track down a patient's previous paper medical records and assists in ensuring data is accurate and legible.</w:t>
            </w:r>
            <w:r w:rsidR="00283DD1">
              <w:rPr>
                <w:rFonts w:asciiTheme="minorHAnsi" w:hAnsiTheme="minorHAnsi"/>
                <w:sz w:val="22"/>
                <w:szCs w:val="22"/>
                <w:lang w:val="en"/>
              </w:rPr>
              <w:t xml:space="preserve"> Data can be exchanged electronically between the EHR and other data collection/reporting systems.</w:t>
            </w:r>
          </w:p>
        </w:tc>
      </w:tr>
      <w:tr w:rsidR="00FB2E1F" w14:paraId="0894D3BD" w14:textId="77777777" w:rsidTr="00EB4511">
        <w:trPr>
          <w:cantSplit/>
        </w:trPr>
        <w:tc>
          <w:tcPr>
            <w:tcW w:w="2896" w:type="dxa"/>
            <w:vAlign w:val="center"/>
          </w:tcPr>
          <w:p w14:paraId="2D0BB097" w14:textId="5285EE23" w:rsidR="00FB2E1F" w:rsidRDefault="00FB2E1F" w:rsidP="00FB2E1F">
            <w:pPr>
              <w:ind w:left="0"/>
            </w:pP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Electronic Data Exchange</w:t>
            </w:r>
            <w:r w:rsidR="00283DD1">
              <w:rPr>
                <w:rFonts w:asciiTheme="minorHAnsi" w:hAnsiTheme="minorHAnsi" w:cstheme="minorHAnsi"/>
                <w:sz w:val="22"/>
                <w:szCs w:val="22"/>
              </w:rPr>
              <w:t xml:space="preserve"> (EDE)</w:t>
            </w:r>
          </w:p>
        </w:tc>
        <w:tc>
          <w:tcPr>
            <w:tcW w:w="7318" w:type="dxa"/>
            <w:vAlign w:val="center"/>
          </w:tcPr>
          <w:p w14:paraId="34825F75" w14:textId="3E07D381" w:rsidR="00FB2E1F" w:rsidRDefault="00FB2E1F" w:rsidP="00283DD1">
            <w:pPr>
              <w:ind w:left="0"/>
            </w:pPr>
            <w:r w:rsidRPr="007A104C">
              <w:rPr>
                <w:rFonts w:asciiTheme="minorHAnsi" w:hAnsiTheme="minorHAnsi"/>
                <w:sz w:val="22"/>
                <w:szCs w:val="22"/>
              </w:rPr>
              <w:t xml:space="preserve">Automated methods of data exchange </w:t>
            </w:r>
            <w:r w:rsidR="00283DD1">
              <w:rPr>
                <w:rFonts w:asciiTheme="minorHAnsi" w:hAnsiTheme="minorHAnsi"/>
                <w:sz w:val="22"/>
                <w:szCs w:val="22"/>
              </w:rPr>
              <w:t>between</w:t>
            </w:r>
            <w:r w:rsidR="00283DD1" w:rsidRPr="007A10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>E</w:t>
            </w:r>
            <w:r w:rsidR="0009429F">
              <w:rPr>
                <w:rFonts w:asciiTheme="minorHAnsi" w:hAnsiTheme="minorHAnsi"/>
                <w:sz w:val="22"/>
                <w:szCs w:val="22"/>
              </w:rPr>
              <w:t>lectronic Health Records (EHR)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 xml:space="preserve"> and other sources</w:t>
            </w:r>
            <w:r w:rsidR="0009429F">
              <w:rPr>
                <w:rFonts w:asciiTheme="minorHAnsi" w:hAnsiTheme="minorHAnsi"/>
                <w:sz w:val="22"/>
                <w:szCs w:val="22"/>
              </w:rPr>
              <w:t>, for example an IIS.</w:t>
            </w:r>
          </w:p>
        </w:tc>
      </w:tr>
      <w:tr w:rsidR="00FB2E1F" w14:paraId="74BCD6AA" w14:textId="77777777" w:rsidTr="00EB4511">
        <w:trPr>
          <w:cantSplit/>
        </w:trPr>
        <w:tc>
          <w:tcPr>
            <w:tcW w:w="2896" w:type="dxa"/>
            <w:vAlign w:val="center"/>
          </w:tcPr>
          <w:p w14:paraId="508BB108" w14:textId="26E74838" w:rsidR="00FB2E1F" w:rsidRDefault="00FB2E1F" w:rsidP="00FB2E1F">
            <w:pPr>
              <w:ind w:left="0"/>
            </w:pP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HIE</w:t>
            </w:r>
          </w:p>
        </w:tc>
        <w:tc>
          <w:tcPr>
            <w:tcW w:w="7318" w:type="dxa"/>
            <w:vAlign w:val="center"/>
          </w:tcPr>
          <w:p w14:paraId="1A1362AA" w14:textId="2C236AB0" w:rsidR="00FB2E1F" w:rsidRDefault="00FB2E1F" w:rsidP="00FB2E1F">
            <w:pPr>
              <w:ind w:left="0"/>
            </w:pPr>
            <w:r w:rsidRPr="007A104C">
              <w:rPr>
                <w:rFonts w:asciiTheme="minorHAnsi" w:hAnsiTheme="minorHAnsi"/>
                <w:sz w:val="22"/>
                <w:szCs w:val="22"/>
              </w:rPr>
              <w:t>Health Information Exchange (HIE) networks</w:t>
            </w:r>
            <w:r w:rsidR="0009429F">
              <w:rPr>
                <w:rFonts w:asciiTheme="minorHAnsi" w:hAnsiTheme="minorHAnsi"/>
                <w:sz w:val="22"/>
                <w:szCs w:val="22"/>
              </w:rPr>
              <w:t>.</w:t>
            </w:r>
            <w:r w:rsidR="00B80270">
              <w:rPr>
                <w:rFonts w:asciiTheme="minorHAnsi" w:hAnsiTheme="minorHAnsi"/>
                <w:sz w:val="22"/>
                <w:szCs w:val="22"/>
              </w:rPr>
              <w:t xml:space="preserve"> HIEs help to facilitate the exchange of data between EHRs and other data collection/reporting systems by acting as a centralized hub for data transport, and in some cases, data collection.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FB2E1F" w14:paraId="61D57EB2" w14:textId="77777777" w:rsidTr="00EB4511">
        <w:trPr>
          <w:cantSplit/>
        </w:trPr>
        <w:tc>
          <w:tcPr>
            <w:tcW w:w="2896" w:type="dxa"/>
            <w:vAlign w:val="center"/>
          </w:tcPr>
          <w:p w14:paraId="1796B8F4" w14:textId="566A532C" w:rsidR="00FB2E1F" w:rsidRPr="007A104C" w:rsidRDefault="00FB2E1F" w:rsidP="00FB2E1F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HL7</w:t>
            </w:r>
          </w:p>
        </w:tc>
        <w:tc>
          <w:tcPr>
            <w:tcW w:w="7318" w:type="dxa"/>
            <w:vAlign w:val="center"/>
          </w:tcPr>
          <w:p w14:paraId="0C422D6E" w14:textId="48059706" w:rsidR="00FB2E1F" w:rsidRPr="007A104C" w:rsidRDefault="00FB2E1F" w:rsidP="00FB2E1F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A104C">
              <w:rPr>
                <w:rFonts w:asciiTheme="minorHAnsi" w:hAnsiTheme="minorHAnsi"/>
                <w:sz w:val="22"/>
                <w:szCs w:val="22"/>
              </w:rPr>
              <w:t xml:space="preserve">A common </w:t>
            </w:r>
            <w:r w:rsidRPr="007A104C">
              <w:rPr>
                <w:rFonts w:asciiTheme="minorHAnsi" w:hAnsiTheme="minorHAnsi"/>
                <w:bCs/>
                <w:sz w:val="22"/>
                <w:szCs w:val="22"/>
              </w:rPr>
              <w:t>messaging standard.</w:t>
            </w:r>
            <w:r w:rsidRPr="007A104C">
              <w:rPr>
                <w:rFonts w:asciiTheme="minorHAnsi" w:hAnsiTheme="minorHAnsi"/>
                <w:sz w:val="22"/>
                <w:szCs w:val="22"/>
              </w:rPr>
              <w:t xml:space="preserve"> For EHRs to be able to connect to an IIS, providers must adopt, implement, or upgrade their EHR to ONC-certified software capable of communicating using the Health Level 7 (HL7) standard protocol version 2.5.1.</w:t>
            </w:r>
          </w:p>
        </w:tc>
      </w:tr>
      <w:tr w:rsidR="00FB2E1F" w14:paraId="4F991E97" w14:textId="77777777" w:rsidTr="00EB4511">
        <w:trPr>
          <w:cantSplit/>
        </w:trPr>
        <w:tc>
          <w:tcPr>
            <w:tcW w:w="2896" w:type="dxa"/>
            <w:vAlign w:val="center"/>
          </w:tcPr>
          <w:p w14:paraId="286F8ADB" w14:textId="40376125" w:rsidR="00FB2E1F" w:rsidRPr="007A104C" w:rsidRDefault="00FB2E1F" w:rsidP="00FB2E1F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04C">
              <w:rPr>
                <w:rFonts w:asciiTheme="minorHAnsi" w:hAnsiTheme="minorHAnsi"/>
                <w:bCs/>
                <w:sz w:val="22"/>
                <w:szCs w:val="22"/>
              </w:rPr>
              <w:t>HL7 Version 2.5.1 Implementation Guide (IG)</w:t>
            </w:r>
          </w:p>
        </w:tc>
        <w:tc>
          <w:tcPr>
            <w:tcW w:w="7318" w:type="dxa"/>
          </w:tcPr>
          <w:p w14:paraId="5A2EC71A" w14:textId="27BC63FF" w:rsidR="00FB2E1F" w:rsidRPr="007A104C" w:rsidRDefault="00FB2E1F" w:rsidP="00283DD1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A104C">
              <w:rPr>
                <w:rFonts w:asciiTheme="minorHAnsi" w:hAnsiTheme="minorHAnsi"/>
                <w:sz w:val="22"/>
                <w:szCs w:val="22"/>
              </w:rPr>
              <w:t>A document developed by the CDC that further constrains the HL7 standard for specific use in immunization messaging.</w:t>
            </w:r>
          </w:p>
        </w:tc>
      </w:tr>
      <w:tr w:rsidR="0009429F" w14:paraId="09B88D09" w14:textId="77777777" w:rsidTr="00EB4511">
        <w:trPr>
          <w:cantSplit/>
        </w:trPr>
        <w:tc>
          <w:tcPr>
            <w:tcW w:w="2896" w:type="dxa"/>
            <w:vAlign w:val="center"/>
          </w:tcPr>
          <w:p w14:paraId="2F788C42" w14:textId="19D204A6" w:rsidR="0009429F" w:rsidRPr="007A104C" w:rsidRDefault="0009429F" w:rsidP="00FB2E1F">
            <w:pPr>
              <w:ind w:left="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IIS</w:t>
            </w:r>
          </w:p>
        </w:tc>
        <w:tc>
          <w:tcPr>
            <w:tcW w:w="7318" w:type="dxa"/>
          </w:tcPr>
          <w:p w14:paraId="3EA98DFA" w14:textId="2FA33C92" w:rsidR="0009429F" w:rsidRPr="007A104C" w:rsidRDefault="0009429F" w:rsidP="0009429F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Immunization Information System.</w:t>
            </w:r>
            <w:r w:rsidR="00B80270">
              <w:rPr>
                <w:rFonts w:asciiTheme="minorHAnsi" w:hAnsiTheme="minorHAnsi"/>
                <w:sz w:val="22"/>
                <w:szCs w:val="22"/>
              </w:rPr>
              <w:t xml:space="preserve"> Designed to serve as a central repository for consolidated immunization records. Modern IIS include tools and resources to support various activities of the jurisdiction’s immunization program operations.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CT WiZ is Connecticut’s IIS.</w:t>
            </w:r>
          </w:p>
        </w:tc>
      </w:tr>
      <w:tr w:rsidR="00FB2E1F" w14:paraId="66C57A6C" w14:textId="77777777" w:rsidTr="00EB4511">
        <w:trPr>
          <w:cantSplit/>
        </w:trPr>
        <w:tc>
          <w:tcPr>
            <w:tcW w:w="2896" w:type="dxa"/>
            <w:vAlign w:val="center"/>
          </w:tcPr>
          <w:p w14:paraId="1C76EA3C" w14:textId="6470F2C3" w:rsidR="00FB2E1F" w:rsidRPr="007A104C" w:rsidRDefault="00FB2E1F" w:rsidP="00B80270">
            <w:pPr>
              <w:ind w:left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Interface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318" w:type="dxa"/>
            <w:vAlign w:val="center"/>
          </w:tcPr>
          <w:p w14:paraId="1904C34F" w14:textId="4900D120" w:rsidR="00FB2E1F" w:rsidRPr="007A104C" w:rsidRDefault="00FB2E1F" w:rsidP="00B80270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A104C">
              <w:rPr>
                <w:rFonts w:asciiTheme="minorHAnsi" w:hAnsiTheme="minorHAnsi"/>
                <w:sz w:val="22"/>
                <w:szCs w:val="22"/>
                <w:lang w:val="en"/>
              </w:rPr>
              <w:t xml:space="preserve">A link between separate data source environments </w:t>
            </w:r>
            <w:r w:rsidR="00B80270">
              <w:rPr>
                <w:rFonts w:asciiTheme="minorHAnsi" w:hAnsiTheme="minorHAnsi"/>
                <w:sz w:val="22"/>
                <w:szCs w:val="22"/>
                <w:lang w:val="en"/>
              </w:rPr>
              <w:t>to facilitate the exchange of data.</w:t>
            </w:r>
            <w:r w:rsidRPr="007A104C">
              <w:rPr>
                <w:rFonts w:asciiTheme="minorHAnsi" w:hAnsiTheme="minorHAnsi"/>
                <w:sz w:val="22"/>
                <w:szCs w:val="22"/>
                <w:lang w:val="en"/>
              </w:rPr>
              <w:t xml:space="preserve">  Examples: Vital Records,</w:t>
            </w:r>
            <w:r w:rsidR="00B80270">
              <w:rPr>
                <w:rFonts w:asciiTheme="minorHAnsi" w:hAnsiTheme="minorHAnsi"/>
                <w:sz w:val="22"/>
                <w:szCs w:val="22"/>
                <w:lang w:val="en"/>
              </w:rPr>
              <w:t xml:space="preserve"> EHR-IIS,</w:t>
            </w:r>
            <w:r w:rsidR="00A404BC">
              <w:rPr>
                <w:rFonts w:asciiTheme="minorHAnsi" w:hAnsiTheme="minorHAnsi"/>
                <w:sz w:val="22"/>
                <w:szCs w:val="22"/>
                <w:lang w:val="en"/>
              </w:rPr>
              <w:t xml:space="preserve"> VTrckS</w:t>
            </w:r>
            <w:r w:rsidRPr="007A104C">
              <w:rPr>
                <w:rFonts w:asciiTheme="minorHAnsi" w:hAnsiTheme="minorHAnsi"/>
                <w:sz w:val="22"/>
                <w:szCs w:val="22"/>
                <w:lang w:val="en"/>
              </w:rPr>
              <w:t xml:space="preserve"> ExIS.</w:t>
            </w:r>
          </w:p>
        </w:tc>
      </w:tr>
      <w:tr w:rsidR="00B80270" w14:paraId="062D63D4" w14:textId="77777777" w:rsidTr="00EB4511">
        <w:trPr>
          <w:cantSplit/>
        </w:trPr>
        <w:tc>
          <w:tcPr>
            <w:tcW w:w="2896" w:type="dxa"/>
            <w:vAlign w:val="center"/>
          </w:tcPr>
          <w:p w14:paraId="43A8B009" w14:textId="165B6A66" w:rsidR="00B80270" w:rsidRPr="007A104C" w:rsidRDefault="00B80270" w:rsidP="00FB2E1F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Interoperability</w:t>
            </w:r>
          </w:p>
        </w:tc>
        <w:tc>
          <w:tcPr>
            <w:tcW w:w="7318" w:type="dxa"/>
            <w:vAlign w:val="center"/>
          </w:tcPr>
          <w:p w14:paraId="39763072" w14:textId="2E9A20FC" w:rsidR="00B80270" w:rsidRPr="007A104C" w:rsidRDefault="00B80270" w:rsidP="00FB2E1F">
            <w:pPr>
              <w:ind w:left="0"/>
              <w:rPr>
                <w:rFonts w:asciiTheme="minorHAnsi" w:hAnsiTheme="minorHAnsi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  <w:lang w:val="en"/>
              </w:rPr>
              <w:t>The ability for data systems to exchange and make use of shared information.</w:t>
            </w:r>
          </w:p>
        </w:tc>
      </w:tr>
      <w:tr w:rsidR="00FB2E1F" w14:paraId="4C40AC2F" w14:textId="77777777" w:rsidTr="00EB4511">
        <w:trPr>
          <w:cantSplit/>
        </w:trPr>
        <w:tc>
          <w:tcPr>
            <w:tcW w:w="2896" w:type="dxa"/>
            <w:vAlign w:val="center"/>
          </w:tcPr>
          <w:p w14:paraId="3DA80B23" w14:textId="681A5BAB" w:rsidR="00FB2E1F" w:rsidRPr="007A104C" w:rsidRDefault="00FB2E1F" w:rsidP="00FB2E1F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MU</w:t>
            </w:r>
          </w:p>
        </w:tc>
        <w:tc>
          <w:tcPr>
            <w:tcW w:w="7318" w:type="dxa"/>
            <w:vAlign w:val="center"/>
          </w:tcPr>
          <w:p w14:paraId="563B8BBB" w14:textId="77777777" w:rsidR="00FB2E1F" w:rsidRPr="007A104C" w:rsidRDefault="00FB2E1F" w:rsidP="00FB2E1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10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Meaningful Use.  Incentives to eligible providers and hospitals to adopt health information technology and use it in a meaningful way, such as by submitting electronica data to public health immunization registries/systems.</w:t>
            </w:r>
          </w:p>
          <w:p w14:paraId="72C009B0" w14:textId="456C7241" w:rsidR="00FB2E1F" w:rsidRPr="007A104C" w:rsidRDefault="008118BF" w:rsidP="00FB2E1F">
            <w:pPr>
              <w:ind w:left="0"/>
              <w:rPr>
                <w:rFonts w:asciiTheme="minorHAnsi" w:hAnsiTheme="minorHAnsi"/>
                <w:sz w:val="22"/>
                <w:szCs w:val="22"/>
                <w:lang w:val="en"/>
              </w:rPr>
            </w:pPr>
            <w:hyperlink r:id="rId8" w:history="1">
              <w:r w:rsidR="00FB2E1F" w:rsidRPr="007A104C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https://portal.ct.gov/DPH/Planning/Health-Information-Technology-and-Exchange/Meaningful-Use</w:t>
              </w:r>
            </w:hyperlink>
          </w:p>
        </w:tc>
      </w:tr>
      <w:tr w:rsidR="00FB2E1F" w14:paraId="54449141" w14:textId="77777777" w:rsidTr="00EB4511">
        <w:trPr>
          <w:cantSplit/>
        </w:trPr>
        <w:tc>
          <w:tcPr>
            <w:tcW w:w="2896" w:type="dxa"/>
            <w:vAlign w:val="center"/>
          </w:tcPr>
          <w:p w14:paraId="62A9C3BB" w14:textId="08DC3B9D" w:rsidR="00FB2E1F" w:rsidRPr="007A104C" w:rsidRDefault="00FB2E1F" w:rsidP="00FB2E1F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04C">
              <w:rPr>
                <w:rFonts w:asciiTheme="minorHAnsi" w:hAnsiTheme="minorHAnsi"/>
                <w:bCs/>
                <w:sz w:val="22"/>
                <w:szCs w:val="22"/>
              </w:rPr>
              <w:t>National Drug Code (NDC)</w:t>
            </w:r>
          </w:p>
        </w:tc>
        <w:tc>
          <w:tcPr>
            <w:tcW w:w="7318" w:type="dxa"/>
            <w:vAlign w:val="center"/>
          </w:tcPr>
          <w:p w14:paraId="03E7B341" w14:textId="67C8D88E" w:rsidR="00FB2E1F" w:rsidRDefault="00FB2E1F" w:rsidP="00FB2E1F">
            <w:pPr>
              <w:pStyle w:val="Default"/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</w:pPr>
            <w:r w:rsidRPr="00D559EE"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  <w:t>The NDC, or National Drug Code, is a unique 10-digit or 11-digit, 3-segment number, and a universal product identifier for human drugs in the United States</w:t>
            </w:r>
            <w:r w:rsidR="00333FE5"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  <w:t xml:space="preserve"> used to indicate a specific vaccine product</w:t>
            </w:r>
            <w:r w:rsidRPr="00D559EE"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6AD48772" w14:textId="77777777" w:rsidR="00FB2E1F" w:rsidRPr="00D559EE" w:rsidRDefault="00FB2E1F" w:rsidP="00FB2E1F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59EE"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  <w:t>The first set of numbers in the NDC identifies the labeler (</w:t>
            </w:r>
            <w:hyperlink r:id="rId9" w:history="1">
              <w:r w:rsidRPr="00D559EE">
                <w:rPr>
                  <w:rStyle w:val="Hyperlink"/>
                  <w:rFonts w:asciiTheme="minorHAnsi" w:hAnsiTheme="minorHAnsi" w:cs="Segoe UI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manufacturer</w:t>
              </w:r>
            </w:hyperlink>
            <w:r w:rsidRPr="00D559EE"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  <w:t xml:space="preserve">, repackager, or distributer). </w:t>
            </w:r>
          </w:p>
          <w:p w14:paraId="765D2183" w14:textId="4060B456" w:rsidR="00FB2E1F" w:rsidRPr="00D559EE" w:rsidRDefault="00FB2E1F" w:rsidP="00FB2E1F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59EE"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  <w:t>The second set of numbers is the product code, which identifies the specific strength, dosage form (</w:t>
            </w:r>
            <w:r w:rsidR="00A404BC" w:rsidRPr="00D559EE"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  <w:t>i.e.</w:t>
            </w:r>
            <w:r w:rsidRPr="00D559EE"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  <w:t xml:space="preserve">, capsule, tablet, liquid) and formulation of a drug for a specific company. </w:t>
            </w:r>
          </w:p>
          <w:p w14:paraId="25C6BCC5" w14:textId="6DDB9D97" w:rsidR="00FB2E1F" w:rsidRPr="007A104C" w:rsidRDefault="00FB2E1F" w:rsidP="00A404B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  <w:t>T</w:t>
            </w:r>
            <w:r w:rsidRPr="00D559EE"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  <w:t>he third set is the package code, which identifies package sizes and types. </w:t>
            </w:r>
          </w:p>
        </w:tc>
      </w:tr>
      <w:tr w:rsidR="00FB2E1F" w14:paraId="7673C280" w14:textId="77777777" w:rsidTr="00EB4511">
        <w:trPr>
          <w:cantSplit/>
        </w:trPr>
        <w:tc>
          <w:tcPr>
            <w:tcW w:w="2896" w:type="dxa"/>
            <w:vAlign w:val="center"/>
          </w:tcPr>
          <w:p w14:paraId="015FECD0" w14:textId="1D39A591" w:rsidR="00FB2E1F" w:rsidRPr="007A104C" w:rsidRDefault="00FB2E1F" w:rsidP="00FB2E1F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NIST</w:t>
            </w:r>
          </w:p>
        </w:tc>
        <w:tc>
          <w:tcPr>
            <w:tcW w:w="7318" w:type="dxa"/>
            <w:vAlign w:val="center"/>
          </w:tcPr>
          <w:p w14:paraId="580C99C3" w14:textId="3C57CEA1" w:rsidR="00FB2E1F" w:rsidRPr="007A104C" w:rsidRDefault="00FB2E1F" w:rsidP="00DB3CD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National Institute for Standards and Technology. P</w:t>
            </w:r>
            <w:r w:rsidRPr="00D559EE">
              <w:rPr>
                <w:rFonts w:asciiTheme="minorHAnsi" w:hAnsiTheme="minorHAnsi"/>
                <w:color w:val="auto"/>
                <w:sz w:val="22"/>
                <w:szCs w:val="22"/>
              </w:rPr>
              <w:t>rovides testing tools</w:t>
            </w:r>
            <w:r w:rsidR="00333FE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and resources</w:t>
            </w:r>
            <w:r w:rsidRPr="00D559E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to ensure consistent and conformant implementation of the </w:t>
            </w:r>
            <w:r w:rsidR="00333FE5">
              <w:rPr>
                <w:rFonts w:asciiTheme="minorHAnsi" w:hAnsiTheme="minorHAnsi"/>
                <w:color w:val="auto"/>
                <w:sz w:val="22"/>
                <w:szCs w:val="22"/>
              </w:rPr>
              <w:t>HL7 v2.5.1 Implementation Guide for Immunization Messaging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  <w:r w:rsidR="00DB3CD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These tools are used to determine CT WiZ onboarding readiness. NIST also provides tools that can test conformance with the CDC WSDL.</w:t>
            </w:r>
          </w:p>
        </w:tc>
      </w:tr>
      <w:tr w:rsidR="00FB2E1F" w14:paraId="5F0257BE" w14:textId="77777777" w:rsidTr="00EB4511">
        <w:trPr>
          <w:cantSplit/>
        </w:trPr>
        <w:tc>
          <w:tcPr>
            <w:tcW w:w="2896" w:type="dxa"/>
            <w:vAlign w:val="center"/>
          </w:tcPr>
          <w:p w14:paraId="1A093A44" w14:textId="32D11F21" w:rsidR="00FB2E1F" w:rsidRPr="007A104C" w:rsidRDefault="00FB2E1F" w:rsidP="00FB2E1F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Query and Response (QBP</w:t>
            </w:r>
            <w:r w:rsidR="00333FE5">
              <w:rPr>
                <w:rFonts w:asciiTheme="minorHAnsi" w:hAnsiTheme="minorHAnsi" w:cstheme="minorHAnsi"/>
                <w:sz w:val="22"/>
                <w:szCs w:val="22"/>
              </w:rPr>
              <w:t>/RSP</w:t>
            </w: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318" w:type="dxa"/>
            <w:vAlign w:val="center"/>
          </w:tcPr>
          <w:p w14:paraId="6F0CF43A" w14:textId="1131CF13" w:rsidR="00FB2E1F" w:rsidRPr="007A104C" w:rsidRDefault="004748CD" w:rsidP="004748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 request for a patient’s immunization record issued electronically by an EHR (QBP) that results in a match selection and data response from the IIS (RSP). The EHR can then choose to reject the match, view the response, or consume the response into the EHR.</w:t>
            </w:r>
          </w:p>
        </w:tc>
      </w:tr>
      <w:tr w:rsidR="00FB2E1F" w14:paraId="7C4C30E8" w14:textId="77777777" w:rsidTr="00EB4511">
        <w:trPr>
          <w:cantSplit/>
        </w:trPr>
        <w:tc>
          <w:tcPr>
            <w:tcW w:w="2896" w:type="dxa"/>
            <w:vAlign w:val="center"/>
          </w:tcPr>
          <w:p w14:paraId="1DF50D5A" w14:textId="11FD3F47" w:rsidR="00FB2E1F" w:rsidRPr="007A104C" w:rsidRDefault="00FB2E1F" w:rsidP="00FB2E1F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SOAP Web Services  (Transport)</w:t>
            </w:r>
          </w:p>
        </w:tc>
        <w:tc>
          <w:tcPr>
            <w:tcW w:w="7318" w:type="dxa"/>
            <w:vAlign w:val="center"/>
          </w:tcPr>
          <w:p w14:paraId="5D0DFA67" w14:textId="01C185BD" w:rsidR="00FB2E1F" w:rsidRDefault="00FB2E1F" w:rsidP="00FB128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A104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Simple Object Access Protocol (SOAP) is the </w:t>
            </w:r>
            <w:r w:rsidR="00FB128A">
              <w:rPr>
                <w:rFonts w:asciiTheme="minorHAnsi" w:hAnsiTheme="minorHAnsi"/>
                <w:color w:val="auto"/>
                <w:sz w:val="22"/>
                <w:szCs w:val="22"/>
              </w:rPr>
              <w:t>preferred</w:t>
            </w:r>
            <w:r w:rsidR="00DB3CD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7A104C">
              <w:rPr>
                <w:rFonts w:asciiTheme="minorHAnsi" w:hAnsiTheme="minorHAnsi"/>
                <w:color w:val="auto"/>
                <w:sz w:val="22"/>
                <w:szCs w:val="22"/>
              </w:rPr>
              <w:t>transport protocol for</w:t>
            </w:r>
            <w:r w:rsidR="00DB3CD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transmitting</w:t>
            </w:r>
            <w:r w:rsidRPr="007A104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immunization </w:t>
            </w:r>
            <w:r w:rsidR="00DB3CDB">
              <w:rPr>
                <w:rFonts w:asciiTheme="minorHAnsi" w:hAnsiTheme="minorHAnsi"/>
                <w:color w:val="auto"/>
                <w:sz w:val="22"/>
                <w:szCs w:val="22"/>
              </w:rPr>
              <w:t>data via HL7 messages.</w:t>
            </w:r>
            <w:r w:rsidR="00FB128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SOAP Web Services utilizing the CDC-defined WSDL is the currently endorsed standard for connectivity and transport.</w:t>
            </w:r>
          </w:p>
        </w:tc>
      </w:tr>
      <w:tr w:rsidR="00FB2E1F" w14:paraId="42680DB7" w14:textId="77777777" w:rsidTr="00EB4511">
        <w:trPr>
          <w:cantSplit/>
        </w:trPr>
        <w:tc>
          <w:tcPr>
            <w:tcW w:w="2896" w:type="dxa"/>
            <w:vAlign w:val="center"/>
          </w:tcPr>
          <w:p w14:paraId="5B6F8145" w14:textId="2CE30DEF" w:rsidR="00FB2E1F" w:rsidRPr="007A104C" w:rsidRDefault="00FB2E1F" w:rsidP="00FB2E1F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04C">
              <w:rPr>
                <w:rFonts w:asciiTheme="minorHAnsi" w:hAnsiTheme="minorHAnsi" w:cstheme="minorHAnsi"/>
                <w:sz w:val="22"/>
                <w:szCs w:val="22"/>
              </w:rPr>
              <w:t>Threshold</w:t>
            </w:r>
          </w:p>
        </w:tc>
        <w:tc>
          <w:tcPr>
            <w:tcW w:w="7318" w:type="dxa"/>
            <w:vAlign w:val="center"/>
          </w:tcPr>
          <w:p w14:paraId="5FBF2129" w14:textId="7C090552" w:rsidR="00FB2E1F" w:rsidRPr="007A104C" w:rsidRDefault="004748CD" w:rsidP="004748C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 performance measurement established by CT CPH to determine whether a prospective interface achieves an acceptable level of </w:t>
            </w:r>
            <w:r w:rsidR="00056B9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message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conformance</w:t>
            </w:r>
            <w:r w:rsidR="00056B9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data quality</w:t>
            </w:r>
            <w:r w:rsidR="00056B9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for production approval.</w:t>
            </w:r>
          </w:p>
        </w:tc>
      </w:tr>
      <w:tr w:rsidR="00FB2E1F" w14:paraId="3BD8F560" w14:textId="77777777" w:rsidTr="00EB4511">
        <w:trPr>
          <w:cantSplit/>
        </w:trPr>
        <w:tc>
          <w:tcPr>
            <w:tcW w:w="2896" w:type="dxa"/>
            <w:vAlign w:val="center"/>
          </w:tcPr>
          <w:p w14:paraId="6A24CB98" w14:textId="0D4A2524" w:rsidR="00FB2E1F" w:rsidRPr="007A104C" w:rsidRDefault="00FB2E1F" w:rsidP="00FB2E1F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04C">
              <w:rPr>
                <w:rFonts w:asciiTheme="minorHAnsi" w:hAnsiTheme="minorHAnsi"/>
                <w:bCs/>
                <w:sz w:val="22"/>
                <w:szCs w:val="22"/>
              </w:rPr>
              <w:t>Transport protocol</w:t>
            </w:r>
          </w:p>
        </w:tc>
        <w:tc>
          <w:tcPr>
            <w:tcW w:w="7318" w:type="dxa"/>
            <w:vAlign w:val="center"/>
          </w:tcPr>
          <w:p w14:paraId="20A382AD" w14:textId="707F9192" w:rsidR="00FB2E1F" w:rsidRPr="007A104C" w:rsidRDefault="00FB2E1F" w:rsidP="00FB2E1F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T</w:t>
            </w:r>
            <w:r w:rsidRPr="007A104C">
              <w:rPr>
                <w:rFonts w:asciiTheme="minorHAnsi" w:hAnsiTheme="minorHAnsi"/>
                <w:color w:val="auto"/>
                <w:sz w:val="22"/>
                <w:szCs w:val="22"/>
              </w:rPr>
              <w:t>he rules for establishing a connection and moving data between two systems.</w:t>
            </w:r>
          </w:p>
        </w:tc>
      </w:tr>
      <w:tr w:rsidR="00FB2E1F" w14:paraId="7F00DCA7" w14:textId="77777777" w:rsidTr="00EB4511">
        <w:trPr>
          <w:cantSplit/>
        </w:trPr>
        <w:tc>
          <w:tcPr>
            <w:tcW w:w="2896" w:type="dxa"/>
            <w:vAlign w:val="center"/>
          </w:tcPr>
          <w:p w14:paraId="151440F1" w14:textId="64CC12F1" w:rsidR="00FB2E1F" w:rsidRPr="007A104C" w:rsidRDefault="00FB2E1F" w:rsidP="0078572E">
            <w:pPr>
              <w:ind w:left="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Vendor</w:t>
            </w:r>
            <w:r w:rsidR="0078572E">
              <w:rPr>
                <w:rFonts w:asciiTheme="minorHAnsi" w:hAnsiTheme="minorHAnsi"/>
                <w:bCs/>
                <w:sz w:val="22"/>
                <w:szCs w:val="22"/>
              </w:rPr>
              <w:t xml:space="preserve"> (EHR, EMR)</w:t>
            </w:r>
          </w:p>
        </w:tc>
        <w:tc>
          <w:tcPr>
            <w:tcW w:w="7318" w:type="dxa"/>
            <w:vAlign w:val="center"/>
          </w:tcPr>
          <w:p w14:paraId="450C2C00" w14:textId="02BBEF22" w:rsidR="00FB2E1F" w:rsidRDefault="0078572E" w:rsidP="00FB2E1F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8572E">
              <w:rPr>
                <w:rStyle w:val="Strong"/>
                <w:rFonts w:ascii="Arial" w:hAnsi="Arial" w:cs="Arial"/>
                <w:b w:val="0"/>
                <w:sz w:val="20"/>
                <w:szCs w:val="20"/>
                <w:lang w:val="en"/>
              </w:rPr>
              <w:t>An entity (business, company, corporation, etc.</w:t>
            </w:r>
            <w:r w:rsidRPr="0078572E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which develops and/or distributes electronic medical record and/or electronic health record software. </w:t>
            </w:r>
            <w:r w:rsidR="00FB2E1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Examples are </w:t>
            </w:r>
            <w:r w:rsidR="00FB2E1F" w:rsidRPr="007A10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EPIC, NextGen, AllScripts, AthenaHealth, Greenway,</w:t>
            </w:r>
            <w:r w:rsidR="00A404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B2E1F" w:rsidRPr="007A10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etc</w:t>
            </w:r>
            <w:r w:rsidR="00A404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FB2E1F" w14:paraId="46BE35D8" w14:textId="77777777" w:rsidTr="00EB4511">
        <w:trPr>
          <w:cantSplit/>
        </w:trPr>
        <w:tc>
          <w:tcPr>
            <w:tcW w:w="2896" w:type="dxa"/>
            <w:vAlign w:val="center"/>
          </w:tcPr>
          <w:p w14:paraId="3CF3E9D0" w14:textId="0A2468AD" w:rsidR="00FB2E1F" w:rsidRDefault="00FB2E1F" w:rsidP="00FB2E1F">
            <w:pPr>
              <w:ind w:left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7A104C">
              <w:rPr>
                <w:rFonts w:asciiTheme="minorHAnsi" w:eastAsia="Arial Unicode MS" w:hAnsiTheme="minorHAnsi" w:cstheme="minorHAnsi"/>
                <w:sz w:val="22"/>
                <w:szCs w:val="22"/>
              </w:rPr>
              <w:t>VXU</w:t>
            </w:r>
          </w:p>
        </w:tc>
        <w:tc>
          <w:tcPr>
            <w:tcW w:w="7318" w:type="dxa"/>
            <w:vAlign w:val="center"/>
          </w:tcPr>
          <w:p w14:paraId="745D9F89" w14:textId="65D5000E" w:rsidR="00FB2E1F" w:rsidRDefault="00381E8A" w:rsidP="00381E8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Unsolicited </w:t>
            </w:r>
            <w:r w:rsidR="00FB2E1F">
              <w:rPr>
                <w:rFonts w:asciiTheme="minorHAnsi" w:hAnsiTheme="minorHAnsi"/>
                <w:bCs/>
                <w:sz w:val="22"/>
                <w:szCs w:val="22"/>
              </w:rPr>
              <w:t>V</w:t>
            </w:r>
            <w:r w:rsidR="00FB2E1F" w:rsidRPr="007A104C">
              <w:rPr>
                <w:rFonts w:asciiTheme="minorHAnsi" w:hAnsiTheme="minorHAnsi"/>
                <w:bCs/>
                <w:sz w:val="22"/>
                <w:szCs w:val="22"/>
              </w:rPr>
              <w:t xml:space="preserve">accine </w:t>
            </w:r>
            <w:r w:rsidR="00FB2E1F">
              <w:rPr>
                <w:rFonts w:asciiTheme="minorHAnsi" w:hAnsiTheme="minorHAnsi"/>
                <w:bCs/>
                <w:sz w:val="22"/>
                <w:szCs w:val="22"/>
              </w:rPr>
              <w:t>U</w:t>
            </w:r>
            <w:r w:rsidR="00FB2E1F" w:rsidRPr="007A104C">
              <w:rPr>
                <w:rFonts w:asciiTheme="minorHAnsi" w:hAnsiTheme="minorHAnsi"/>
                <w:bCs/>
                <w:sz w:val="22"/>
                <w:szCs w:val="22"/>
              </w:rPr>
              <w:t>pdate (</w:t>
            </w:r>
            <w:r w:rsidR="00FB2E1F">
              <w:rPr>
                <w:rFonts w:asciiTheme="minorHAnsi" w:hAnsiTheme="minorHAnsi"/>
                <w:bCs/>
                <w:sz w:val="22"/>
                <w:szCs w:val="22"/>
              </w:rPr>
              <w:t>VXU</w:t>
            </w:r>
            <w:r w:rsidR="00FB2E1F" w:rsidRPr="007A104C">
              <w:rPr>
                <w:rFonts w:asciiTheme="minorHAnsi" w:hAnsiTheme="minorHAnsi"/>
                <w:bCs/>
                <w:sz w:val="22"/>
                <w:szCs w:val="22"/>
              </w:rPr>
              <w:t xml:space="preserve">) message. </w:t>
            </w:r>
            <w:r w:rsidR="00FB2E1F">
              <w:rPr>
                <w:rFonts w:asciiTheme="minorHAnsi" w:hAnsiTheme="minorHAnsi"/>
                <w:sz w:val="22"/>
                <w:szCs w:val="22"/>
              </w:rPr>
              <w:t xml:space="preserve"> The EHR sends VXU messages to the IIS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provide information about a vaccination encounter with a patient</w:t>
            </w:r>
            <w:r w:rsidR="00FB2E1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B2E1F" w14:paraId="09FF6EAD" w14:textId="77777777" w:rsidTr="00EB4511">
        <w:trPr>
          <w:cantSplit/>
        </w:trPr>
        <w:tc>
          <w:tcPr>
            <w:tcW w:w="2896" w:type="dxa"/>
            <w:vAlign w:val="center"/>
          </w:tcPr>
          <w:p w14:paraId="0ECF5D48" w14:textId="27458CF6" w:rsidR="00FB2E1F" w:rsidRPr="007A104C" w:rsidRDefault="00FB2E1F" w:rsidP="00FB2E1F">
            <w:pPr>
              <w:ind w:left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WSDL</w:t>
            </w:r>
          </w:p>
        </w:tc>
        <w:tc>
          <w:tcPr>
            <w:tcW w:w="7318" w:type="dxa"/>
            <w:vAlign w:val="center"/>
          </w:tcPr>
          <w:p w14:paraId="443A41E9" w14:textId="377009DB" w:rsidR="00FB2E1F" w:rsidRDefault="00FB2E1F" w:rsidP="004748CD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Web Services Definition Language. </w:t>
            </w:r>
            <w:r w:rsidR="00FB128A">
              <w:rPr>
                <w:rFonts w:asciiTheme="minorHAnsi" w:hAnsiTheme="minorHAnsi"/>
                <w:bCs/>
                <w:sz w:val="22"/>
                <w:szCs w:val="22"/>
              </w:rPr>
              <w:t>A machine-readable contract between the sender and receiver</w:t>
            </w:r>
            <w:r w:rsidR="004748CD">
              <w:rPr>
                <w:rFonts w:asciiTheme="minorHAnsi" w:hAnsiTheme="minorHAnsi"/>
                <w:bCs/>
                <w:sz w:val="22"/>
                <w:szCs w:val="22"/>
              </w:rPr>
              <w:t xml:space="preserve"> to establish a secure connection for data transmission. </w:t>
            </w:r>
            <w:r w:rsidR="004748CD">
              <w:rPr>
                <w:rFonts w:asciiTheme="minorHAnsi" w:hAnsiTheme="minorHAnsi"/>
                <w:color w:val="auto"/>
                <w:sz w:val="22"/>
                <w:szCs w:val="22"/>
              </w:rPr>
              <w:t>SOAP Web Services utilizing the CDC-defined WSDL is the currently endorsed standard for transmitting immunization messages via HL7.</w:t>
            </w:r>
          </w:p>
        </w:tc>
      </w:tr>
    </w:tbl>
    <w:p w14:paraId="2075D437" w14:textId="77777777" w:rsidR="00FB2E1F" w:rsidRDefault="00FB2E1F" w:rsidP="002C75C3">
      <w:pPr>
        <w:ind w:left="0"/>
      </w:pPr>
    </w:p>
    <w:p w14:paraId="635AF7DA" w14:textId="77777777" w:rsidR="00FB2E1F" w:rsidRDefault="00FB2E1F" w:rsidP="002C75C3">
      <w:pPr>
        <w:ind w:left="0"/>
      </w:pPr>
    </w:p>
    <w:p w14:paraId="42A64131" w14:textId="1A8D6199" w:rsidR="00D410CA" w:rsidRDefault="00D410CA" w:rsidP="00FA0599">
      <w:pPr>
        <w:pStyle w:val="NormalWeb"/>
        <w:jc w:val="center"/>
        <w:rPr>
          <w:rFonts w:cs="Times"/>
          <w:color w:val="000000"/>
          <w:sz w:val="24"/>
          <w:szCs w:val="24"/>
        </w:rPr>
      </w:pPr>
    </w:p>
    <w:sectPr w:rsidR="00D410CA" w:rsidSect="00FB2E1F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24EDA" w14:textId="77777777" w:rsidR="00122DE1" w:rsidRDefault="00122DE1" w:rsidP="004932F3">
      <w:r>
        <w:separator/>
      </w:r>
    </w:p>
  </w:endnote>
  <w:endnote w:type="continuationSeparator" w:id="0">
    <w:p w14:paraId="54003D9E" w14:textId="77777777" w:rsidR="00122DE1" w:rsidRDefault="00122DE1" w:rsidP="0049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KFCEF K+ Arial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0044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3DB121" w14:textId="5716BA66" w:rsidR="00D734C5" w:rsidRDefault="00D734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8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8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0DCF72" w14:textId="77777777" w:rsidR="00D734C5" w:rsidRDefault="00D73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BFC87" w14:textId="77777777" w:rsidR="00122DE1" w:rsidRDefault="00122DE1" w:rsidP="004932F3">
      <w:r>
        <w:separator/>
      </w:r>
    </w:p>
  </w:footnote>
  <w:footnote w:type="continuationSeparator" w:id="0">
    <w:p w14:paraId="5E17D1E6" w14:textId="77777777" w:rsidR="00122DE1" w:rsidRDefault="00122DE1" w:rsidP="00493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687A0" w14:textId="4677D510" w:rsidR="00D734C5" w:rsidRPr="0078572E" w:rsidRDefault="007A104C" w:rsidP="004932F3">
    <w:pPr>
      <w:pStyle w:val="Heading2"/>
      <w:ind w:left="0"/>
      <w:jc w:val="both"/>
      <w:rPr>
        <w:b/>
        <w:color w:val="1F4E79" w:themeColor="accent1" w:themeShade="80"/>
        <w:sz w:val="16"/>
        <w:szCs w:val="18"/>
      </w:rPr>
    </w:pPr>
    <w:r w:rsidRPr="0078572E">
      <w:rPr>
        <w:b/>
        <w:color w:val="1F4E79" w:themeColor="accent1" w:themeShade="80"/>
        <w:sz w:val="36"/>
      </w:rPr>
      <w:t>EHR Data Exchange-HL7</w:t>
    </w:r>
    <w:r w:rsidR="00D734C5" w:rsidRPr="0078572E">
      <w:rPr>
        <w:b/>
        <w:color w:val="1F4E79" w:themeColor="accent1" w:themeShade="80"/>
        <w:sz w:val="36"/>
      </w:rPr>
      <w:t xml:space="preserve"> Terms and Acronyms</w:t>
    </w:r>
    <w:r w:rsidR="006D60A1" w:rsidRPr="0078572E">
      <w:rPr>
        <w:b/>
        <w:color w:val="1F4E79" w:themeColor="accent1" w:themeShade="80"/>
        <w:sz w:val="36"/>
      </w:rPr>
      <w:t xml:space="preserve"> </w:t>
    </w:r>
  </w:p>
  <w:p w14:paraId="4A4FDAA2" w14:textId="77777777" w:rsidR="00270B1B" w:rsidRPr="00270B1B" w:rsidRDefault="00270B1B" w:rsidP="00270B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036D4"/>
    <w:multiLevelType w:val="hybridMultilevel"/>
    <w:tmpl w:val="2E026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82"/>
    <w:rsid w:val="00000CA2"/>
    <w:rsid w:val="00004D42"/>
    <w:rsid w:val="000353F6"/>
    <w:rsid w:val="00056B99"/>
    <w:rsid w:val="000610CC"/>
    <w:rsid w:val="0009429F"/>
    <w:rsid w:val="000A25CC"/>
    <w:rsid w:val="000B277D"/>
    <w:rsid w:val="000D3756"/>
    <w:rsid w:val="000D4B78"/>
    <w:rsid w:val="000E0B6A"/>
    <w:rsid w:val="000E4A2E"/>
    <w:rsid w:val="001064AE"/>
    <w:rsid w:val="00122DE1"/>
    <w:rsid w:val="00136643"/>
    <w:rsid w:val="001624CD"/>
    <w:rsid w:val="0017734B"/>
    <w:rsid w:val="001806F0"/>
    <w:rsid w:val="001838AF"/>
    <w:rsid w:val="001A01E9"/>
    <w:rsid w:val="001D1C17"/>
    <w:rsid w:val="001D45B9"/>
    <w:rsid w:val="001E4D42"/>
    <w:rsid w:val="001F0C25"/>
    <w:rsid w:val="00210DB3"/>
    <w:rsid w:val="0021149F"/>
    <w:rsid w:val="002142E7"/>
    <w:rsid w:val="00230DDB"/>
    <w:rsid w:val="0024444F"/>
    <w:rsid w:val="0026421F"/>
    <w:rsid w:val="00266FE0"/>
    <w:rsid w:val="00270B1B"/>
    <w:rsid w:val="002734BF"/>
    <w:rsid w:val="002822B7"/>
    <w:rsid w:val="0028340F"/>
    <w:rsid w:val="00283DD1"/>
    <w:rsid w:val="00290FC2"/>
    <w:rsid w:val="0029546A"/>
    <w:rsid w:val="002B00DE"/>
    <w:rsid w:val="002B17CE"/>
    <w:rsid w:val="002C75C3"/>
    <w:rsid w:val="002C7ADE"/>
    <w:rsid w:val="002D5790"/>
    <w:rsid w:val="002D57FA"/>
    <w:rsid w:val="002D667B"/>
    <w:rsid w:val="002E1131"/>
    <w:rsid w:val="00306B74"/>
    <w:rsid w:val="00316726"/>
    <w:rsid w:val="003232CB"/>
    <w:rsid w:val="00333FE5"/>
    <w:rsid w:val="0035111D"/>
    <w:rsid w:val="00351185"/>
    <w:rsid w:val="00372403"/>
    <w:rsid w:val="00375007"/>
    <w:rsid w:val="003767D7"/>
    <w:rsid w:val="00381E8A"/>
    <w:rsid w:val="00386A53"/>
    <w:rsid w:val="003B23A4"/>
    <w:rsid w:val="003C790A"/>
    <w:rsid w:val="003D0FF4"/>
    <w:rsid w:val="003D2B12"/>
    <w:rsid w:val="0040219E"/>
    <w:rsid w:val="0040520E"/>
    <w:rsid w:val="00420370"/>
    <w:rsid w:val="00435949"/>
    <w:rsid w:val="00435D83"/>
    <w:rsid w:val="0046359D"/>
    <w:rsid w:val="0046400F"/>
    <w:rsid w:val="0046677D"/>
    <w:rsid w:val="004748CD"/>
    <w:rsid w:val="004932F3"/>
    <w:rsid w:val="004A4D4A"/>
    <w:rsid w:val="004B6278"/>
    <w:rsid w:val="004C75F7"/>
    <w:rsid w:val="004E1856"/>
    <w:rsid w:val="004E7347"/>
    <w:rsid w:val="00550F14"/>
    <w:rsid w:val="005529BC"/>
    <w:rsid w:val="00562EB1"/>
    <w:rsid w:val="005661B6"/>
    <w:rsid w:val="005A3E1B"/>
    <w:rsid w:val="005A6264"/>
    <w:rsid w:val="005A6A43"/>
    <w:rsid w:val="005B32BB"/>
    <w:rsid w:val="005B453C"/>
    <w:rsid w:val="005D1497"/>
    <w:rsid w:val="005E13CA"/>
    <w:rsid w:val="005F5A05"/>
    <w:rsid w:val="005F625A"/>
    <w:rsid w:val="00617F96"/>
    <w:rsid w:val="0062143B"/>
    <w:rsid w:val="00623DB1"/>
    <w:rsid w:val="00627A32"/>
    <w:rsid w:val="00631D0B"/>
    <w:rsid w:val="00635696"/>
    <w:rsid w:val="006469A8"/>
    <w:rsid w:val="00665DD2"/>
    <w:rsid w:val="00676332"/>
    <w:rsid w:val="0069661B"/>
    <w:rsid w:val="006974BA"/>
    <w:rsid w:val="006C1D45"/>
    <w:rsid w:val="006D60A1"/>
    <w:rsid w:val="006E783D"/>
    <w:rsid w:val="00700E57"/>
    <w:rsid w:val="0075322F"/>
    <w:rsid w:val="00771BB1"/>
    <w:rsid w:val="0078572E"/>
    <w:rsid w:val="007A104C"/>
    <w:rsid w:val="007B147B"/>
    <w:rsid w:val="007C74C6"/>
    <w:rsid w:val="007D48C2"/>
    <w:rsid w:val="007D7A72"/>
    <w:rsid w:val="007F167C"/>
    <w:rsid w:val="007F563D"/>
    <w:rsid w:val="008118BF"/>
    <w:rsid w:val="008122B6"/>
    <w:rsid w:val="00816D18"/>
    <w:rsid w:val="00827FF2"/>
    <w:rsid w:val="0083096C"/>
    <w:rsid w:val="00847347"/>
    <w:rsid w:val="00847C98"/>
    <w:rsid w:val="0085318F"/>
    <w:rsid w:val="0089091A"/>
    <w:rsid w:val="008969CB"/>
    <w:rsid w:val="00897D88"/>
    <w:rsid w:val="008A06CD"/>
    <w:rsid w:val="008A40A4"/>
    <w:rsid w:val="008E7AF3"/>
    <w:rsid w:val="008F10F5"/>
    <w:rsid w:val="008F486E"/>
    <w:rsid w:val="00915BD3"/>
    <w:rsid w:val="00915D95"/>
    <w:rsid w:val="00924571"/>
    <w:rsid w:val="00930E48"/>
    <w:rsid w:val="009433DA"/>
    <w:rsid w:val="009459C6"/>
    <w:rsid w:val="00950B6D"/>
    <w:rsid w:val="0095161A"/>
    <w:rsid w:val="00970EB1"/>
    <w:rsid w:val="00982FF4"/>
    <w:rsid w:val="00994250"/>
    <w:rsid w:val="0099709C"/>
    <w:rsid w:val="009B52EF"/>
    <w:rsid w:val="009D6F25"/>
    <w:rsid w:val="00A0716F"/>
    <w:rsid w:val="00A106A4"/>
    <w:rsid w:val="00A13682"/>
    <w:rsid w:val="00A404BC"/>
    <w:rsid w:val="00A563BE"/>
    <w:rsid w:val="00A67573"/>
    <w:rsid w:val="00A74C5D"/>
    <w:rsid w:val="00AA615E"/>
    <w:rsid w:val="00AA7437"/>
    <w:rsid w:val="00AF3A72"/>
    <w:rsid w:val="00B179FE"/>
    <w:rsid w:val="00B30BEC"/>
    <w:rsid w:val="00B3184D"/>
    <w:rsid w:val="00B3227C"/>
    <w:rsid w:val="00B408ED"/>
    <w:rsid w:val="00B42547"/>
    <w:rsid w:val="00B43504"/>
    <w:rsid w:val="00B43549"/>
    <w:rsid w:val="00B774C1"/>
    <w:rsid w:val="00B77F66"/>
    <w:rsid w:val="00B80270"/>
    <w:rsid w:val="00B8247D"/>
    <w:rsid w:val="00B8258B"/>
    <w:rsid w:val="00B87CDA"/>
    <w:rsid w:val="00B91708"/>
    <w:rsid w:val="00BA2789"/>
    <w:rsid w:val="00BA6D27"/>
    <w:rsid w:val="00BD5171"/>
    <w:rsid w:val="00BD64E1"/>
    <w:rsid w:val="00BD6CB4"/>
    <w:rsid w:val="00BE0082"/>
    <w:rsid w:val="00BF1AFE"/>
    <w:rsid w:val="00C06288"/>
    <w:rsid w:val="00C062FA"/>
    <w:rsid w:val="00C0698C"/>
    <w:rsid w:val="00C07363"/>
    <w:rsid w:val="00C15B56"/>
    <w:rsid w:val="00C33BE9"/>
    <w:rsid w:val="00C461EB"/>
    <w:rsid w:val="00C50D35"/>
    <w:rsid w:val="00C53544"/>
    <w:rsid w:val="00C95650"/>
    <w:rsid w:val="00C95733"/>
    <w:rsid w:val="00CB5F35"/>
    <w:rsid w:val="00CB6021"/>
    <w:rsid w:val="00CB76A4"/>
    <w:rsid w:val="00CB7C29"/>
    <w:rsid w:val="00CF0E69"/>
    <w:rsid w:val="00CF22E2"/>
    <w:rsid w:val="00D12156"/>
    <w:rsid w:val="00D15074"/>
    <w:rsid w:val="00D24077"/>
    <w:rsid w:val="00D37984"/>
    <w:rsid w:val="00D410CA"/>
    <w:rsid w:val="00D44F7B"/>
    <w:rsid w:val="00D559EE"/>
    <w:rsid w:val="00D72870"/>
    <w:rsid w:val="00D734C5"/>
    <w:rsid w:val="00D8104D"/>
    <w:rsid w:val="00D91748"/>
    <w:rsid w:val="00DA347D"/>
    <w:rsid w:val="00DB3CDB"/>
    <w:rsid w:val="00DB6991"/>
    <w:rsid w:val="00DC350C"/>
    <w:rsid w:val="00DD084A"/>
    <w:rsid w:val="00DD48ED"/>
    <w:rsid w:val="00DE4065"/>
    <w:rsid w:val="00DF2F0D"/>
    <w:rsid w:val="00DF6BE0"/>
    <w:rsid w:val="00E0097F"/>
    <w:rsid w:val="00E01294"/>
    <w:rsid w:val="00E017E6"/>
    <w:rsid w:val="00E077A0"/>
    <w:rsid w:val="00E4289A"/>
    <w:rsid w:val="00E47069"/>
    <w:rsid w:val="00E52791"/>
    <w:rsid w:val="00E7109A"/>
    <w:rsid w:val="00EB37BD"/>
    <w:rsid w:val="00EB4511"/>
    <w:rsid w:val="00EF408A"/>
    <w:rsid w:val="00EF53A2"/>
    <w:rsid w:val="00F10802"/>
    <w:rsid w:val="00F175F2"/>
    <w:rsid w:val="00F233E2"/>
    <w:rsid w:val="00F33DBB"/>
    <w:rsid w:val="00F43CDE"/>
    <w:rsid w:val="00F60BD4"/>
    <w:rsid w:val="00F67209"/>
    <w:rsid w:val="00FA0599"/>
    <w:rsid w:val="00FB128A"/>
    <w:rsid w:val="00FB2E1F"/>
    <w:rsid w:val="00FB419A"/>
    <w:rsid w:val="00FC62BC"/>
    <w:rsid w:val="00FE1E44"/>
    <w:rsid w:val="00FE6BE8"/>
    <w:rsid w:val="00FE6FF1"/>
    <w:rsid w:val="00FF175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5C9F482"/>
  <w15:docId w15:val="{93531ED3-D581-4B88-B938-8CEDBA7C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682"/>
    <w:p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Arial" w:eastAsia="Times New Roman" w:hAnsi="Arial" w:cs="Arial"/>
      <w:spacing w:val="-5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4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6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3682"/>
    <w:pPr>
      <w:keepLines/>
      <w:tabs>
        <w:tab w:val="center" w:pos="4320"/>
        <w:tab w:val="right" w:pos="8640"/>
      </w:tabs>
      <w:spacing w:line="190" w:lineRule="atLeast"/>
      <w:ind w:left="0"/>
    </w:pPr>
    <w:rPr>
      <w:caps/>
      <w:spacing w:val="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A13682"/>
    <w:rPr>
      <w:rFonts w:ascii="Arial" w:eastAsia="Times New Roman" w:hAnsi="Arial" w:cs="Arial"/>
      <w:caps/>
      <w:sz w:val="15"/>
      <w:szCs w:val="15"/>
    </w:rPr>
  </w:style>
  <w:style w:type="paragraph" w:customStyle="1" w:styleId="Default">
    <w:name w:val="Default"/>
    <w:rsid w:val="00A13682"/>
    <w:pPr>
      <w:widowControl w:val="0"/>
      <w:autoSpaceDE w:val="0"/>
      <w:autoSpaceDN w:val="0"/>
      <w:adjustRightInd w:val="0"/>
      <w:spacing w:after="0" w:line="240" w:lineRule="auto"/>
    </w:pPr>
    <w:rPr>
      <w:rFonts w:ascii="KFCEF K+ Arial" w:eastAsia="Times New Roman" w:hAnsi="KFCEF K+ Arial" w:cs="KFCEF K+ 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3682"/>
    <w:rPr>
      <w:rFonts w:asciiTheme="majorHAnsi" w:eastAsiaTheme="majorEastAsia" w:hAnsiTheme="majorHAnsi" w:cstheme="majorBidi"/>
      <w:color w:val="2E74B5" w:themeColor="accent1" w:themeShade="BF"/>
      <w:spacing w:val="-5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3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2F3"/>
    <w:rPr>
      <w:rFonts w:ascii="Arial" w:eastAsia="Times New Roman" w:hAnsi="Arial" w:cs="Arial"/>
      <w:spacing w:val="-5"/>
      <w:sz w:val="20"/>
      <w:szCs w:val="20"/>
    </w:rPr>
  </w:style>
  <w:style w:type="character" w:customStyle="1" w:styleId="tgc">
    <w:name w:val="_tgc"/>
    <w:basedOn w:val="DefaultParagraphFont"/>
    <w:rsid w:val="00631D0B"/>
  </w:style>
  <w:style w:type="character" w:styleId="Hyperlink">
    <w:name w:val="Hyperlink"/>
    <w:basedOn w:val="DefaultParagraphFont"/>
    <w:uiPriority w:val="99"/>
    <w:unhideWhenUsed/>
    <w:rsid w:val="007D7A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D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42"/>
    <w:rPr>
      <w:rFonts w:ascii="Segoe UI" w:eastAsia="Times New Roman" w:hAnsi="Segoe UI" w:cs="Segoe UI"/>
      <w:spacing w:val="-5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A347D"/>
    <w:rPr>
      <w:rFonts w:asciiTheme="majorHAnsi" w:eastAsiaTheme="majorEastAsia" w:hAnsiTheme="majorHAnsi" w:cstheme="majorBidi"/>
      <w:color w:val="2E74B5" w:themeColor="accent1" w:themeShade="BF"/>
      <w:spacing w:val="-5"/>
      <w:sz w:val="32"/>
      <w:szCs w:val="32"/>
    </w:rPr>
  </w:style>
  <w:style w:type="character" w:styleId="Strong">
    <w:name w:val="Strong"/>
    <w:basedOn w:val="DefaultParagraphFont"/>
    <w:uiPriority w:val="22"/>
    <w:qFormat/>
    <w:rsid w:val="00E4289A"/>
    <w:rPr>
      <w:b/>
      <w:bCs/>
    </w:rPr>
  </w:style>
  <w:style w:type="paragraph" w:styleId="NormalWeb">
    <w:name w:val="Normal (Web)"/>
    <w:basedOn w:val="Normal"/>
    <w:uiPriority w:val="99"/>
    <w:unhideWhenUsed/>
    <w:rsid w:val="00D44F7B"/>
    <w:pPr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rFonts w:ascii="Times" w:eastAsiaTheme="minorHAnsi" w:hAnsi="Times" w:cs="Times New Roman"/>
      <w:spacing w:val="0"/>
    </w:rPr>
  </w:style>
  <w:style w:type="table" w:styleId="TableGrid">
    <w:name w:val="Table Grid"/>
    <w:basedOn w:val="TableNormal"/>
    <w:uiPriority w:val="39"/>
    <w:rsid w:val="00FB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3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D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DD1"/>
    <w:rPr>
      <w:rFonts w:ascii="Arial" w:eastAsia="Times New Roman" w:hAnsi="Arial" w:cs="Arial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DD1"/>
    <w:rPr>
      <w:rFonts w:ascii="Arial" w:eastAsia="Times New Roman" w:hAnsi="Arial" w:cs="Arial"/>
      <w:b/>
      <w:bCs/>
      <w:spacing w:val="-5"/>
      <w:sz w:val="20"/>
      <w:szCs w:val="20"/>
    </w:rPr>
  </w:style>
  <w:style w:type="paragraph" w:styleId="Revision">
    <w:name w:val="Revision"/>
    <w:hidden/>
    <w:uiPriority w:val="99"/>
    <w:semiHidden/>
    <w:rsid w:val="00A404BC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DPH/Planning/Health-Information-Technology-and-Exchange/Meaningful-U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rugs.com/pharmaceutical-compan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2C30-2B88-4A2E-8F43-06B0F665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Sharova, Nancy</dc:creator>
  <cp:keywords/>
  <dc:description/>
  <cp:lastModifiedBy>Gamble, Beth</cp:lastModifiedBy>
  <cp:revision>2</cp:revision>
  <cp:lastPrinted>2019-01-16T00:26:00Z</cp:lastPrinted>
  <dcterms:created xsi:type="dcterms:W3CDTF">2019-01-18T18:06:00Z</dcterms:created>
  <dcterms:modified xsi:type="dcterms:W3CDTF">2019-01-18T18:06:00Z</dcterms:modified>
</cp:coreProperties>
</file>