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74FE65" w14:textId="77777777" w:rsidR="0000522C" w:rsidRPr="00273D08" w:rsidRDefault="0000522C" w:rsidP="006F1F90">
      <w:pPr>
        <w:jc w:val="center"/>
        <w:rPr>
          <w:b/>
          <w:sz w:val="28"/>
          <w:szCs w:val="28"/>
        </w:rPr>
      </w:pPr>
      <w:r w:rsidRPr="00273D08">
        <w:rPr>
          <w:b/>
          <w:sz w:val="28"/>
          <w:szCs w:val="28"/>
        </w:rPr>
        <w:t>The State of Connecticut</w:t>
      </w:r>
    </w:p>
    <w:p w14:paraId="05504FCC" w14:textId="77777777" w:rsidR="0097710B" w:rsidRPr="00273D08" w:rsidRDefault="0097710B" w:rsidP="006F1F90">
      <w:pPr>
        <w:jc w:val="center"/>
        <w:rPr>
          <w:b/>
          <w:sz w:val="28"/>
          <w:szCs w:val="28"/>
        </w:rPr>
      </w:pPr>
      <w:r w:rsidRPr="00273D08">
        <w:rPr>
          <w:b/>
          <w:sz w:val="28"/>
          <w:szCs w:val="28"/>
        </w:rPr>
        <w:t xml:space="preserve">Department of </w:t>
      </w:r>
      <w:r w:rsidR="00C92AEC" w:rsidRPr="00273D08">
        <w:rPr>
          <w:b/>
          <w:sz w:val="28"/>
          <w:szCs w:val="28"/>
        </w:rPr>
        <w:t>Housing</w:t>
      </w:r>
    </w:p>
    <w:p w14:paraId="7511F62F" w14:textId="77777777" w:rsidR="0097710B" w:rsidRPr="00273D08" w:rsidRDefault="0097710B" w:rsidP="006F1F90">
      <w:pPr>
        <w:jc w:val="center"/>
        <w:rPr>
          <w:b/>
          <w:sz w:val="28"/>
          <w:szCs w:val="28"/>
        </w:rPr>
      </w:pPr>
    </w:p>
    <w:p w14:paraId="4D1E684D" w14:textId="77777777" w:rsidR="00B01C0C" w:rsidRPr="00273D08" w:rsidRDefault="006F1F90" w:rsidP="006F1F90">
      <w:pPr>
        <w:jc w:val="center"/>
        <w:rPr>
          <w:b/>
          <w:sz w:val="28"/>
          <w:szCs w:val="28"/>
        </w:rPr>
      </w:pPr>
      <w:r w:rsidRPr="00273D08">
        <w:rPr>
          <w:b/>
          <w:sz w:val="28"/>
          <w:szCs w:val="28"/>
        </w:rPr>
        <w:t>NOTICE OF FUNDING AVAILABILITY</w:t>
      </w:r>
    </w:p>
    <w:p w14:paraId="22943C4C" w14:textId="77777777" w:rsidR="00BC77B9" w:rsidRPr="00273D08" w:rsidRDefault="00BC77B9" w:rsidP="006F1F90">
      <w:pPr>
        <w:jc w:val="center"/>
        <w:rPr>
          <w:b/>
          <w:sz w:val="28"/>
          <w:szCs w:val="28"/>
        </w:rPr>
      </w:pPr>
    </w:p>
    <w:p w14:paraId="2BD9FFC9" w14:textId="77777777" w:rsidR="00C92AEC" w:rsidRPr="00273D08" w:rsidRDefault="00946D10" w:rsidP="006F1F90">
      <w:pPr>
        <w:jc w:val="center"/>
        <w:rPr>
          <w:b/>
          <w:sz w:val="28"/>
          <w:szCs w:val="28"/>
        </w:rPr>
      </w:pPr>
      <w:r w:rsidRPr="00273D08">
        <w:rPr>
          <w:b/>
          <w:sz w:val="28"/>
          <w:szCs w:val="28"/>
        </w:rPr>
        <w:t>Homeownership</w:t>
      </w:r>
      <w:r w:rsidR="001C56D4">
        <w:rPr>
          <w:b/>
          <w:sz w:val="28"/>
          <w:szCs w:val="28"/>
        </w:rPr>
        <w:t xml:space="preserve"> Development</w:t>
      </w:r>
      <w:r w:rsidR="00C92AEC" w:rsidRPr="00273D08">
        <w:rPr>
          <w:b/>
          <w:sz w:val="28"/>
          <w:szCs w:val="28"/>
        </w:rPr>
        <w:t xml:space="preserve"> Projects</w:t>
      </w:r>
    </w:p>
    <w:p w14:paraId="65368321" w14:textId="77777777" w:rsidR="006F1F90" w:rsidRPr="00273D08" w:rsidRDefault="006F1F90" w:rsidP="006F1F90">
      <w:pPr>
        <w:jc w:val="center"/>
        <w:rPr>
          <w:b/>
          <w:sz w:val="28"/>
          <w:szCs w:val="28"/>
        </w:rPr>
      </w:pPr>
    </w:p>
    <w:p w14:paraId="77518345" w14:textId="77777777" w:rsidR="001549F8" w:rsidRPr="00273D08" w:rsidRDefault="001549F8" w:rsidP="006F1F90">
      <w:pPr>
        <w:jc w:val="center"/>
        <w:rPr>
          <w:b/>
          <w:sz w:val="28"/>
          <w:szCs w:val="28"/>
        </w:rPr>
      </w:pPr>
      <w:r w:rsidRPr="00273D08">
        <w:rPr>
          <w:b/>
          <w:sz w:val="28"/>
          <w:szCs w:val="28"/>
        </w:rPr>
        <w:t xml:space="preserve">Deadline for Submission of Applications: </w:t>
      </w:r>
      <w:r w:rsidR="00C92AEC" w:rsidRPr="00273D08">
        <w:rPr>
          <w:b/>
          <w:sz w:val="28"/>
          <w:szCs w:val="28"/>
        </w:rPr>
        <w:t xml:space="preserve"> </w:t>
      </w:r>
      <w:r w:rsidR="00C436B4">
        <w:rPr>
          <w:b/>
          <w:sz w:val="28"/>
          <w:szCs w:val="28"/>
        </w:rPr>
        <w:t>February 29, 2016</w:t>
      </w:r>
    </w:p>
    <w:p w14:paraId="0D25D8B1" w14:textId="77777777" w:rsidR="006F1F90" w:rsidRPr="00A376C6" w:rsidRDefault="006F1F90" w:rsidP="006F1F90">
      <w:pPr>
        <w:rPr>
          <w:color w:val="FF0000"/>
        </w:rPr>
      </w:pPr>
    </w:p>
    <w:p w14:paraId="7FF6C40E" w14:textId="6A5601E3" w:rsidR="0000522C" w:rsidRPr="00A376C6" w:rsidRDefault="006F1F90" w:rsidP="0082493C">
      <w:pPr>
        <w:rPr>
          <w:color w:val="FF0000"/>
        </w:rPr>
      </w:pPr>
      <w:r w:rsidRPr="00842DEA">
        <w:t xml:space="preserve">This </w:t>
      </w:r>
      <w:r w:rsidR="005F756B" w:rsidRPr="00842DEA">
        <w:t>N</w:t>
      </w:r>
      <w:r w:rsidRPr="00842DEA">
        <w:t>otice</w:t>
      </w:r>
      <w:r w:rsidR="005F756B" w:rsidRPr="00842DEA">
        <w:t xml:space="preserve"> of Funding Availability (</w:t>
      </w:r>
      <w:r w:rsidR="00BE200B" w:rsidRPr="00842DEA">
        <w:t>this “</w:t>
      </w:r>
      <w:r w:rsidR="005F756B" w:rsidRPr="00842DEA">
        <w:t>NOFA</w:t>
      </w:r>
      <w:r w:rsidR="00BE200B" w:rsidRPr="00842DEA">
        <w:t>”</w:t>
      </w:r>
      <w:r w:rsidR="005F756B" w:rsidRPr="00842DEA">
        <w:t>)</w:t>
      </w:r>
      <w:r w:rsidRPr="00842DEA">
        <w:t xml:space="preserve"> is directed to </w:t>
      </w:r>
      <w:r w:rsidR="004852D0" w:rsidRPr="00842DEA">
        <w:t>applicants</w:t>
      </w:r>
      <w:r w:rsidR="0097710B" w:rsidRPr="00842DEA">
        <w:t xml:space="preserve"> </w:t>
      </w:r>
      <w:r w:rsidR="0000522C" w:rsidRPr="00842DEA">
        <w:t>seeking</w:t>
      </w:r>
      <w:r w:rsidR="008A3B16" w:rsidRPr="00842DEA">
        <w:t xml:space="preserve"> </w:t>
      </w:r>
      <w:r w:rsidR="00E74DF2" w:rsidRPr="00842DEA">
        <w:t xml:space="preserve">to </w:t>
      </w:r>
      <w:r w:rsidR="002B4FEA">
        <w:t xml:space="preserve">create homeownership opportunities for </w:t>
      </w:r>
      <w:r w:rsidR="00842DEA">
        <w:t>eligible households</w:t>
      </w:r>
      <w:r w:rsidR="002B4FEA">
        <w:t xml:space="preserve"> throughout the State</w:t>
      </w:r>
      <w:r w:rsidR="00842DEA">
        <w:t xml:space="preserve">. </w:t>
      </w:r>
      <w:r w:rsidR="007D3F22">
        <w:t>Assisted properties mus</w:t>
      </w:r>
      <w:r w:rsidR="00842DEA">
        <w:t>t be</w:t>
      </w:r>
      <w:r w:rsidR="00E74DF2" w:rsidRPr="00842DEA">
        <w:t xml:space="preserve"> </w:t>
      </w:r>
      <w:r w:rsidR="007C0695">
        <w:t>owner-</w:t>
      </w:r>
      <w:r w:rsidR="00273D08" w:rsidRPr="00842DEA">
        <w:t>occupied</w:t>
      </w:r>
      <w:r w:rsidR="007C0695">
        <w:t xml:space="preserve"> properties </w:t>
      </w:r>
      <w:r w:rsidR="007C0695" w:rsidRPr="007C0695">
        <w:t xml:space="preserve">comprising 1 to </w:t>
      </w:r>
      <w:r w:rsidR="007D3F22" w:rsidRPr="007C0695">
        <w:t xml:space="preserve">4 units </w:t>
      </w:r>
      <w:r w:rsidR="00E74DF2" w:rsidRPr="007C0695">
        <w:t>that</w:t>
      </w:r>
      <w:r w:rsidR="00E74DF2" w:rsidRPr="00842DEA">
        <w:t xml:space="preserve"> </w:t>
      </w:r>
      <w:r w:rsidR="00E74DF2" w:rsidRPr="00116F94">
        <w:t>create</w:t>
      </w:r>
      <w:r w:rsidR="00913D4C" w:rsidRPr="00116F94">
        <w:t xml:space="preserve"> </w:t>
      </w:r>
      <w:r w:rsidR="00E74DF2" w:rsidRPr="00116F94">
        <w:t>affordable</w:t>
      </w:r>
      <w:r w:rsidR="00E74DF2" w:rsidRPr="00842DEA">
        <w:t xml:space="preserve"> housing units</w:t>
      </w:r>
      <w:r w:rsidR="001549F8" w:rsidRPr="00842DEA">
        <w:t>.</w:t>
      </w:r>
      <w:r w:rsidR="007A2304" w:rsidRPr="00A376C6">
        <w:rPr>
          <w:color w:val="FF0000"/>
        </w:rPr>
        <w:t xml:space="preserve"> </w:t>
      </w:r>
    </w:p>
    <w:p w14:paraId="38CC5169" w14:textId="77777777" w:rsidR="0000522C" w:rsidRPr="007D3F22" w:rsidRDefault="0000522C" w:rsidP="0082493C">
      <w:bookmarkStart w:id="0" w:name="_GoBack"/>
      <w:bookmarkEnd w:id="0"/>
    </w:p>
    <w:p w14:paraId="115BFA98" w14:textId="77777777" w:rsidR="0000522C" w:rsidRPr="007D3F22" w:rsidRDefault="00FC47ED" w:rsidP="0000522C">
      <w:pPr>
        <w:numPr>
          <w:ilvl w:val="0"/>
          <w:numId w:val="10"/>
        </w:numPr>
        <w:ind w:hanging="720"/>
        <w:rPr>
          <w:u w:val="single"/>
        </w:rPr>
      </w:pPr>
      <w:r w:rsidRPr="007D3F22">
        <w:rPr>
          <w:u w:val="single"/>
        </w:rPr>
        <w:t>Goals of this NOFA</w:t>
      </w:r>
      <w:r w:rsidR="0000522C" w:rsidRPr="007D3F22">
        <w:rPr>
          <w:u w:val="single"/>
        </w:rPr>
        <w:t>:</w:t>
      </w:r>
    </w:p>
    <w:p w14:paraId="10A95DB5" w14:textId="2D6AE1A0" w:rsidR="005B7AB1" w:rsidRPr="00C436B4" w:rsidRDefault="00C278ED" w:rsidP="00C278ED">
      <w:r w:rsidRPr="007D3F22">
        <w:t xml:space="preserve">The State of Connecticut Department of Housing (“DOH”) is committed to expanding opportunities for safe, decent and affordable housing for its residents.  </w:t>
      </w:r>
      <w:r w:rsidR="009C133B" w:rsidRPr="007D3F22">
        <w:t xml:space="preserve">Affordable housing promotes healthy lives, strong communities and a robust economy.  </w:t>
      </w:r>
      <w:r w:rsidRPr="007D3F22">
        <w:t>The goal of this NOFA is to</w:t>
      </w:r>
      <w:r w:rsidR="005B7AB1" w:rsidRPr="007D3F22">
        <w:t xml:space="preserve"> expand affordable housing opportunities by</w:t>
      </w:r>
      <w:r w:rsidRPr="007D3F22">
        <w:t xml:space="preserve"> foster</w:t>
      </w:r>
      <w:r w:rsidR="005B7AB1" w:rsidRPr="007D3F22">
        <w:t>ing</w:t>
      </w:r>
      <w:r w:rsidRPr="007D3F22">
        <w:t xml:space="preserve"> </w:t>
      </w:r>
      <w:r w:rsidR="009C133B" w:rsidRPr="007D3F22">
        <w:t xml:space="preserve">the </w:t>
      </w:r>
      <w:r w:rsidRPr="007D3F22">
        <w:t xml:space="preserve">creation of affordable </w:t>
      </w:r>
      <w:r w:rsidR="007D3F22" w:rsidRPr="007D3F22">
        <w:t xml:space="preserve">homeownership </w:t>
      </w:r>
      <w:r w:rsidR="009C133B" w:rsidRPr="007D3F22">
        <w:t xml:space="preserve">properties </w:t>
      </w:r>
      <w:r w:rsidR="00671E60">
        <w:t>throughout</w:t>
      </w:r>
      <w:r w:rsidR="009C133B" w:rsidRPr="007D3F22">
        <w:t xml:space="preserve"> </w:t>
      </w:r>
      <w:r w:rsidRPr="007D3F22">
        <w:t>Connecticut</w:t>
      </w:r>
      <w:r w:rsidRPr="000C2B35">
        <w:t xml:space="preserve">. </w:t>
      </w:r>
    </w:p>
    <w:p w14:paraId="4C7C9CFA" w14:textId="77777777" w:rsidR="009421B9" w:rsidRPr="00A376C6" w:rsidRDefault="009421B9" w:rsidP="00C278ED">
      <w:pPr>
        <w:rPr>
          <w:color w:val="FF0000"/>
        </w:rPr>
      </w:pPr>
    </w:p>
    <w:p w14:paraId="639F13CF" w14:textId="77777777" w:rsidR="00EF6CA5" w:rsidRPr="00EF6CA5" w:rsidRDefault="00222865" w:rsidP="00222865">
      <w:pPr>
        <w:pStyle w:val="ListParagraph"/>
        <w:numPr>
          <w:ilvl w:val="0"/>
          <w:numId w:val="10"/>
        </w:numPr>
        <w:ind w:hanging="720"/>
      </w:pPr>
      <w:r w:rsidRPr="00EF6CA5">
        <w:rPr>
          <w:u w:val="single"/>
        </w:rPr>
        <w:t>E</w:t>
      </w:r>
      <w:r w:rsidR="000F78F1" w:rsidRPr="00EF6CA5">
        <w:rPr>
          <w:u w:val="single"/>
        </w:rPr>
        <w:t>ligible Applicants</w:t>
      </w:r>
      <w:r w:rsidR="00EF6CA5">
        <w:rPr>
          <w:u w:val="single"/>
        </w:rPr>
        <w:t>:</w:t>
      </w:r>
    </w:p>
    <w:p w14:paraId="68C7E91A" w14:textId="77777777" w:rsidR="00EF6CA5" w:rsidRPr="00EF6CA5" w:rsidRDefault="00EF6CA5" w:rsidP="00EF6CA5">
      <w:r w:rsidRPr="00EF6CA5">
        <w:t>Applicants eligible for consideration under this NOFA include any entity that is an “Eligible applicant” under Connecticut General Statutes (“CGS”) § 8-37pp(a)(4), including, without limitation, a non-profit entity, a municipality, a housing authority, any partnership, limited partnership, limited liability company, joint venture, sole proprietorship, trust or association having as one of its purposes the construction, financing, acquisition, rehabilitation or operation of affordable housing, and having basic documents of organization approved by the Commissioner of DOH, and any combination of the foregoing.</w:t>
      </w:r>
    </w:p>
    <w:p w14:paraId="584682C7" w14:textId="77777777" w:rsidR="00EF6CA5" w:rsidRPr="00DA4E9E" w:rsidRDefault="00EF6CA5" w:rsidP="00DA4E9E">
      <w:pPr>
        <w:rPr>
          <w:color w:val="FF0000"/>
        </w:rPr>
      </w:pPr>
    </w:p>
    <w:p w14:paraId="2414018F" w14:textId="77777777" w:rsidR="00222865" w:rsidRPr="00F12F25" w:rsidRDefault="00EF6CA5" w:rsidP="00222865">
      <w:pPr>
        <w:pStyle w:val="ListParagraph"/>
        <w:numPr>
          <w:ilvl w:val="0"/>
          <w:numId w:val="10"/>
        </w:numPr>
        <w:ind w:hanging="720"/>
        <w:rPr>
          <w:u w:val="single"/>
        </w:rPr>
      </w:pPr>
      <w:r w:rsidRPr="00F12F25">
        <w:rPr>
          <w:u w:val="single"/>
        </w:rPr>
        <w:t>Eligible</w:t>
      </w:r>
      <w:r w:rsidR="005B7AB1" w:rsidRPr="00F12F25">
        <w:rPr>
          <w:u w:val="single"/>
        </w:rPr>
        <w:t xml:space="preserve"> </w:t>
      </w:r>
      <w:r w:rsidR="002118F7" w:rsidRPr="00F12F25">
        <w:rPr>
          <w:u w:val="single"/>
        </w:rPr>
        <w:t>Project</w:t>
      </w:r>
      <w:r w:rsidR="00F12F25" w:rsidRPr="00F12F25">
        <w:rPr>
          <w:u w:val="single"/>
        </w:rPr>
        <w:t>s:</w:t>
      </w:r>
    </w:p>
    <w:p w14:paraId="2E8C88B1" w14:textId="76AE5CD9" w:rsidR="00222865" w:rsidRPr="0006679B" w:rsidRDefault="0006679B" w:rsidP="00C21EC0">
      <w:pPr>
        <w:autoSpaceDE w:val="0"/>
        <w:autoSpaceDN w:val="0"/>
      </w:pPr>
      <w:r>
        <w:t xml:space="preserve">Eligible </w:t>
      </w:r>
      <w:r w:rsidR="00AF1C85">
        <w:t>projects</w:t>
      </w:r>
      <w:r>
        <w:t xml:space="preserve"> under</w:t>
      </w:r>
      <w:r w:rsidR="00DA4E9E">
        <w:t xml:space="preserve"> this NOFA include </w:t>
      </w:r>
      <w:r w:rsidR="00913D4C">
        <w:t xml:space="preserve">the </w:t>
      </w:r>
      <w:r w:rsidR="00ED31A3">
        <w:t>construction</w:t>
      </w:r>
      <w:r w:rsidR="00ED31A3" w:rsidRPr="00F12F25">
        <w:t xml:space="preserve"> </w:t>
      </w:r>
      <w:r w:rsidR="00671E60">
        <w:t xml:space="preserve">of new </w:t>
      </w:r>
      <w:r w:rsidR="00AF1C85">
        <w:t xml:space="preserve">owner-occupied properties comprising up to four units </w:t>
      </w:r>
      <w:r w:rsidR="00ED31A3">
        <w:t xml:space="preserve">or </w:t>
      </w:r>
      <w:r w:rsidR="00AF1C85">
        <w:t xml:space="preserve">the </w:t>
      </w:r>
      <w:r w:rsidR="00ED31A3">
        <w:t>rehabilit</w:t>
      </w:r>
      <w:r w:rsidR="00B428C3">
        <w:t xml:space="preserve">ation of </w:t>
      </w:r>
      <w:r w:rsidR="00671E60">
        <w:t xml:space="preserve">uninhabitable </w:t>
      </w:r>
      <w:r w:rsidR="00B428C3">
        <w:t>homeownership units</w:t>
      </w:r>
      <w:r w:rsidR="00B916CD">
        <w:t>.</w:t>
      </w:r>
      <w:r w:rsidR="00C21EC0">
        <w:t xml:space="preserve"> </w:t>
      </w:r>
      <w:r w:rsidR="00671E60">
        <w:rPr>
          <w:rFonts w:ascii="Times-Roman" w:hAnsi="Times-Roman"/>
        </w:rPr>
        <w:t>A p</w:t>
      </w:r>
      <w:r w:rsidR="00F12F25">
        <w:rPr>
          <w:rFonts w:ascii="Times-Roman" w:hAnsi="Times-Roman"/>
        </w:rPr>
        <w:t xml:space="preserve">roject must specify one or more properties to be developed in a single phase.  </w:t>
      </w:r>
    </w:p>
    <w:p w14:paraId="6064BB8D" w14:textId="77777777" w:rsidR="005B7AB1" w:rsidRPr="00A376C6" w:rsidRDefault="005B7AB1" w:rsidP="00D907F9">
      <w:pPr>
        <w:rPr>
          <w:color w:val="FF0000"/>
        </w:rPr>
      </w:pPr>
    </w:p>
    <w:p w14:paraId="137BF47B" w14:textId="77777777" w:rsidR="005B7AB1" w:rsidRPr="00390F2A" w:rsidRDefault="00323997" w:rsidP="00323997">
      <w:pPr>
        <w:pStyle w:val="ListParagraph"/>
        <w:numPr>
          <w:ilvl w:val="0"/>
          <w:numId w:val="10"/>
        </w:numPr>
        <w:ind w:hanging="720"/>
      </w:pPr>
      <w:r w:rsidRPr="00390F2A">
        <w:rPr>
          <w:u w:val="single"/>
        </w:rPr>
        <w:t>Funding Amount:</w:t>
      </w:r>
    </w:p>
    <w:p w14:paraId="155EC783" w14:textId="473F0E00" w:rsidR="00C64216" w:rsidRDefault="00323997" w:rsidP="00323997">
      <w:r w:rsidRPr="00390F2A">
        <w:t>The amount of funding to be made available under this NOFA is approximately $</w:t>
      </w:r>
      <w:r w:rsidR="00C436B4">
        <w:t>20</w:t>
      </w:r>
      <w:r w:rsidR="005B7AB1" w:rsidRPr="00390F2A">
        <w:t xml:space="preserve"> million</w:t>
      </w:r>
      <w:r w:rsidR="00A376C6" w:rsidRPr="00390F2A">
        <w:t xml:space="preserve">. </w:t>
      </w:r>
      <w:r w:rsidR="0069323E">
        <w:t xml:space="preserve">It is </w:t>
      </w:r>
      <w:r w:rsidR="00C64216" w:rsidRPr="00390F2A">
        <w:t xml:space="preserve">expected that applicants will </w:t>
      </w:r>
      <w:r w:rsidR="00C64216" w:rsidRPr="00913D4C">
        <w:t xml:space="preserve">propose </w:t>
      </w:r>
      <w:r w:rsidR="00671E60">
        <w:t>projects</w:t>
      </w:r>
      <w:r w:rsidR="00C64216" w:rsidRPr="00390F2A">
        <w:t xml:space="preserve"> that leverage DOH’s financial assistance with substantial financial and/or in-kind resources from other sources, particularly pri</w:t>
      </w:r>
      <w:r w:rsidR="00A62DB8">
        <w:t>vate sources of debt and equity, but also financial and other commitments from local organizations, businesses, and associati</w:t>
      </w:r>
      <w:r w:rsidR="00913D4C">
        <w:t>ons</w:t>
      </w:r>
      <w:r w:rsidR="00A62DB8">
        <w:t xml:space="preserve"> and the local municipality to support the </w:t>
      </w:r>
      <w:r w:rsidR="00781DF6">
        <w:t xml:space="preserve">proposed </w:t>
      </w:r>
      <w:r w:rsidR="00AF1C85">
        <w:t>p</w:t>
      </w:r>
      <w:r w:rsidR="00781DF6">
        <w:t>roject</w:t>
      </w:r>
      <w:r w:rsidR="00A62DB8" w:rsidRPr="00913D4C">
        <w:t>.</w:t>
      </w:r>
      <w:r w:rsidR="00A62DB8">
        <w:t xml:space="preserve"> </w:t>
      </w:r>
      <w:r w:rsidR="00C64216" w:rsidRPr="00A376C6">
        <w:rPr>
          <w:color w:val="FF0000"/>
        </w:rPr>
        <w:t xml:space="preserve">  </w:t>
      </w:r>
    </w:p>
    <w:p w14:paraId="46FFC620" w14:textId="77777777" w:rsidR="00DA4E9E" w:rsidRDefault="00DA4E9E" w:rsidP="00323997">
      <w:pPr>
        <w:rPr>
          <w:color w:val="FF0000"/>
        </w:rPr>
      </w:pPr>
    </w:p>
    <w:p w14:paraId="5D6099C2" w14:textId="49612032" w:rsidR="00884012" w:rsidRPr="00781DF6" w:rsidRDefault="00884012" w:rsidP="00884012">
      <w:r w:rsidRPr="002118F7">
        <w:t xml:space="preserve">No </w:t>
      </w:r>
      <w:r w:rsidR="00AF1C85">
        <w:t>p</w:t>
      </w:r>
      <w:r w:rsidRPr="002118F7">
        <w:t>roject should contemplate financial assistance from DOH in an amount greater than $</w:t>
      </w:r>
      <w:r w:rsidR="002118F7">
        <w:t>5</w:t>
      </w:r>
      <w:r w:rsidRPr="002118F7">
        <w:t>,000,000 or less than $</w:t>
      </w:r>
      <w:r w:rsidR="002118F7" w:rsidRPr="002118F7">
        <w:t>5</w:t>
      </w:r>
      <w:r w:rsidRPr="002118F7">
        <w:t xml:space="preserve">00,000.  </w:t>
      </w:r>
    </w:p>
    <w:p w14:paraId="5DF7830A" w14:textId="77777777" w:rsidR="00323997" w:rsidRDefault="00323997" w:rsidP="009421B9"/>
    <w:p w14:paraId="2F2E22C4" w14:textId="77777777" w:rsidR="00671E60" w:rsidRPr="00DA4E9E" w:rsidRDefault="00671E60" w:rsidP="009421B9"/>
    <w:p w14:paraId="7B6AEF1F" w14:textId="77777777" w:rsidR="00222865" w:rsidRPr="00DA4E9E" w:rsidRDefault="000F4647" w:rsidP="00222865">
      <w:pPr>
        <w:pStyle w:val="ListParagraph"/>
        <w:numPr>
          <w:ilvl w:val="0"/>
          <w:numId w:val="10"/>
        </w:numPr>
        <w:ind w:hanging="720"/>
      </w:pPr>
      <w:r w:rsidRPr="00DA4E9E">
        <w:rPr>
          <w:u w:val="single"/>
        </w:rPr>
        <w:lastRenderedPageBreak/>
        <w:t xml:space="preserve">Funding </w:t>
      </w:r>
      <w:r w:rsidR="00323997" w:rsidRPr="00DA4E9E">
        <w:rPr>
          <w:u w:val="single"/>
        </w:rPr>
        <w:t>Source</w:t>
      </w:r>
      <w:r w:rsidR="000825A4" w:rsidRPr="00DA4E9E">
        <w:t>:</w:t>
      </w:r>
    </w:p>
    <w:p w14:paraId="506465F5" w14:textId="1FCBA758" w:rsidR="00561E51" w:rsidRPr="00DA4E9E" w:rsidRDefault="000825A4" w:rsidP="000825A4">
      <w:r w:rsidRPr="00DA4E9E">
        <w:t xml:space="preserve">It is anticipated that funding for </w:t>
      </w:r>
      <w:r w:rsidR="00671E60">
        <w:t>projects</w:t>
      </w:r>
      <w:r w:rsidR="002118F7">
        <w:t xml:space="preserve"> </w:t>
      </w:r>
      <w:r w:rsidRPr="00DA4E9E">
        <w:t xml:space="preserve">selected under this NOFA will be provided through the Affordable Housing </w:t>
      </w:r>
      <w:r w:rsidR="006F67CC">
        <w:t>Program</w:t>
      </w:r>
      <w:r w:rsidRPr="00DA4E9E">
        <w:t>.  Such funding is subject to the requirements of CGS § 8-37pp</w:t>
      </w:r>
      <w:r w:rsidR="009B4CAF" w:rsidRPr="00DA4E9E">
        <w:t>, et seq.</w:t>
      </w:r>
      <w:r w:rsidRPr="00DA4E9E">
        <w:t xml:space="preserve">, including the limitation that such funds serve persons and families </w:t>
      </w:r>
      <w:r w:rsidR="009B4CAF" w:rsidRPr="00DA4E9E">
        <w:t xml:space="preserve">whose household </w:t>
      </w:r>
      <w:r w:rsidRPr="00DA4E9E">
        <w:t xml:space="preserve">incomes </w:t>
      </w:r>
      <w:r w:rsidR="009B4CAF" w:rsidRPr="00DA4E9E">
        <w:t>do not exceed</w:t>
      </w:r>
      <w:r w:rsidRPr="00DA4E9E">
        <w:t xml:space="preserve"> 100% of </w:t>
      </w:r>
      <w:r w:rsidR="00323997" w:rsidRPr="00DA4E9E">
        <w:t>the applicable</w:t>
      </w:r>
      <w:r w:rsidR="00637E95" w:rsidRPr="00DA4E9E">
        <w:t xml:space="preserve"> </w:t>
      </w:r>
      <w:r w:rsidR="006F67CC">
        <w:t>area median income</w:t>
      </w:r>
      <w:r w:rsidRPr="00DA4E9E">
        <w:t>.</w:t>
      </w:r>
      <w:r w:rsidR="00B17B13" w:rsidRPr="00DA4E9E">
        <w:t xml:space="preserve">  </w:t>
      </w:r>
      <w:r w:rsidRPr="00DA4E9E">
        <w:t xml:space="preserve">All </w:t>
      </w:r>
      <w:r w:rsidR="00B17B13" w:rsidRPr="00DA4E9E">
        <w:t xml:space="preserve">proposed </w:t>
      </w:r>
      <w:r w:rsidR="00671E60">
        <w:t>projects</w:t>
      </w:r>
      <w:r w:rsidRPr="00DA4E9E">
        <w:t xml:space="preserve"> must be eligible under</w:t>
      </w:r>
      <w:r w:rsidR="00B17B13" w:rsidRPr="00DA4E9E">
        <w:t xml:space="preserve"> CGS § 8-37pp</w:t>
      </w:r>
      <w:r w:rsidR="009421B9" w:rsidRPr="00DA4E9E">
        <w:t>.</w:t>
      </w:r>
    </w:p>
    <w:p w14:paraId="36A83ED9" w14:textId="77777777" w:rsidR="00FF7F5E" w:rsidRPr="00FF7F5E" w:rsidRDefault="00FF7F5E" w:rsidP="00FF7F5E">
      <w:pPr>
        <w:pStyle w:val="ListParagraph"/>
      </w:pPr>
    </w:p>
    <w:p w14:paraId="6F7FD250" w14:textId="7EE4CA00" w:rsidR="00A90CA4" w:rsidRPr="00AA585F" w:rsidRDefault="00B17B13" w:rsidP="00B17B13">
      <w:pPr>
        <w:pStyle w:val="ListParagraph"/>
        <w:numPr>
          <w:ilvl w:val="0"/>
          <w:numId w:val="10"/>
        </w:numPr>
        <w:ind w:hanging="720"/>
      </w:pPr>
      <w:r w:rsidRPr="00AA585F">
        <w:rPr>
          <w:u w:val="single"/>
        </w:rPr>
        <w:t xml:space="preserve">Application </w:t>
      </w:r>
      <w:r w:rsidR="00466CCD" w:rsidRPr="00AA585F">
        <w:rPr>
          <w:u w:val="single"/>
        </w:rPr>
        <w:t xml:space="preserve">Submission </w:t>
      </w:r>
      <w:r w:rsidR="00B76D42">
        <w:rPr>
          <w:u w:val="single"/>
        </w:rPr>
        <w:t xml:space="preserve">Instructions and </w:t>
      </w:r>
      <w:r w:rsidRPr="00AA585F">
        <w:rPr>
          <w:u w:val="single"/>
        </w:rPr>
        <w:t>Requirements</w:t>
      </w:r>
      <w:r w:rsidRPr="00AA585F">
        <w:t>:</w:t>
      </w:r>
    </w:p>
    <w:p w14:paraId="242DE9E3" w14:textId="77777777" w:rsidR="004E7514" w:rsidRDefault="004E7514" w:rsidP="004E7514">
      <w:pPr>
        <w:pStyle w:val="ListParagraph"/>
      </w:pPr>
    </w:p>
    <w:p w14:paraId="0548A94B" w14:textId="65241739" w:rsidR="004E7514" w:rsidRDefault="007737B3" w:rsidP="007737B3">
      <w:pPr>
        <w:pStyle w:val="ListParagraph"/>
        <w:numPr>
          <w:ilvl w:val="0"/>
          <w:numId w:val="22"/>
        </w:numPr>
      </w:pPr>
      <w:r w:rsidRPr="00AA585F">
        <w:t xml:space="preserve">Applicants must use the </w:t>
      </w:r>
      <w:r w:rsidR="004E7514">
        <w:t xml:space="preserve">version of the </w:t>
      </w:r>
      <w:r w:rsidRPr="00AA585F">
        <w:t xml:space="preserve">CHFA/DOH </w:t>
      </w:r>
      <w:r w:rsidRPr="004E7514">
        <w:rPr>
          <w:b/>
          <w:u w:val="single"/>
        </w:rPr>
        <w:t>Consolidated Application</w:t>
      </w:r>
      <w:r w:rsidR="00781DF6" w:rsidRPr="004E7514">
        <w:rPr>
          <w:b/>
          <w:u w:val="single"/>
        </w:rPr>
        <w:t xml:space="preserve"> </w:t>
      </w:r>
      <w:r w:rsidRPr="004E7514">
        <w:t>(the “ConApp</w:t>
      </w:r>
      <w:r w:rsidRPr="00AA585F">
        <w:t xml:space="preserve">”) which is available at DOH’s website at </w:t>
      </w:r>
      <w:hyperlink r:id="rId8" w:history="1">
        <w:r w:rsidRPr="004E7514">
          <w:rPr>
            <w:rStyle w:val="Hyperlink"/>
            <w:color w:val="auto"/>
          </w:rPr>
          <w:t>www.ct.gov/doh</w:t>
        </w:r>
      </w:hyperlink>
      <w:r w:rsidR="00D15E1A">
        <w:rPr>
          <w:rStyle w:val="Hyperlink"/>
          <w:color w:val="auto"/>
          <w:u w:val="none"/>
        </w:rPr>
        <w:t xml:space="preserve"> (</w:t>
      </w:r>
      <w:r w:rsidRPr="004E7514">
        <w:rPr>
          <w:rStyle w:val="Hyperlink"/>
          <w:color w:val="auto"/>
          <w:u w:val="none"/>
        </w:rPr>
        <w:t>“</w:t>
      </w:r>
      <w:r w:rsidR="0032648E" w:rsidRPr="004E7514">
        <w:rPr>
          <w:rStyle w:val="Hyperlink"/>
          <w:color w:val="auto"/>
          <w:u w:val="none"/>
        </w:rPr>
        <w:t xml:space="preserve">DOH </w:t>
      </w:r>
      <w:r w:rsidRPr="004E7514">
        <w:rPr>
          <w:rStyle w:val="Hyperlink"/>
          <w:color w:val="auto"/>
          <w:u w:val="none"/>
        </w:rPr>
        <w:t>Website”)</w:t>
      </w:r>
      <w:r w:rsidR="004E7514" w:rsidRPr="004E7514">
        <w:rPr>
          <w:rStyle w:val="Hyperlink"/>
          <w:color w:val="auto"/>
          <w:u w:val="none"/>
        </w:rPr>
        <w:t xml:space="preserve"> as of December 1</w:t>
      </w:r>
      <w:r w:rsidR="00BE1147">
        <w:rPr>
          <w:rStyle w:val="Hyperlink"/>
          <w:color w:val="auto"/>
          <w:u w:val="none"/>
        </w:rPr>
        <w:t>4</w:t>
      </w:r>
      <w:r w:rsidR="004E7514" w:rsidRPr="004E7514">
        <w:rPr>
          <w:rStyle w:val="Hyperlink"/>
          <w:color w:val="auto"/>
          <w:u w:val="none"/>
        </w:rPr>
        <w:t>, 2015</w:t>
      </w:r>
      <w:r w:rsidR="00D15E1A">
        <w:rPr>
          <w:rStyle w:val="Hyperlink"/>
          <w:color w:val="auto"/>
          <w:u w:val="none"/>
        </w:rPr>
        <w:t xml:space="preserve">. Updates to the </w:t>
      </w:r>
      <w:r w:rsidR="004E7514" w:rsidRPr="004E7514">
        <w:rPr>
          <w:rStyle w:val="Hyperlink"/>
          <w:color w:val="auto"/>
          <w:u w:val="none"/>
        </w:rPr>
        <w:t>ConApp are schedule</w:t>
      </w:r>
      <w:r w:rsidR="00D15E1A">
        <w:rPr>
          <w:rStyle w:val="Hyperlink"/>
          <w:color w:val="auto"/>
          <w:u w:val="none"/>
        </w:rPr>
        <w:t>d for early December</w:t>
      </w:r>
      <w:r w:rsidR="00861901" w:rsidRPr="004E7514">
        <w:rPr>
          <w:rStyle w:val="Hyperlink"/>
          <w:color w:val="auto"/>
          <w:u w:val="none"/>
        </w:rPr>
        <w:t xml:space="preserve">. </w:t>
      </w:r>
    </w:p>
    <w:p w14:paraId="5FE267AF" w14:textId="77777777" w:rsidR="004E7514" w:rsidRDefault="004E7514" w:rsidP="004E7514">
      <w:pPr>
        <w:pStyle w:val="ListParagraph"/>
      </w:pPr>
    </w:p>
    <w:p w14:paraId="4F6408C1" w14:textId="33E3BA05" w:rsidR="00AA585F" w:rsidRPr="004E7514" w:rsidRDefault="00AA585F" w:rsidP="007737B3">
      <w:pPr>
        <w:pStyle w:val="ListParagraph"/>
        <w:numPr>
          <w:ilvl w:val="0"/>
          <w:numId w:val="22"/>
        </w:numPr>
      </w:pPr>
      <w:r w:rsidRPr="004E7514">
        <w:rPr>
          <w:rStyle w:val="Hyperlink"/>
          <w:color w:val="auto"/>
          <w:u w:val="none"/>
        </w:rPr>
        <w:t>A</w:t>
      </w:r>
      <w:r w:rsidRPr="00AA585F">
        <w:t xml:space="preserve">ll application materials </w:t>
      </w:r>
      <w:r w:rsidRPr="004E7514">
        <w:rPr>
          <w:b/>
          <w:i/>
          <w:u w:val="single"/>
        </w:rPr>
        <w:t>must</w:t>
      </w:r>
      <w:r w:rsidRPr="00AA585F">
        <w:t xml:space="preserve"> be submitted via electronic submission through the </w:t>
      </w:r>
      <w:r w:rsidR="004E7514">
        <w:t>DOH/CHFA</w:t>
      </w:r>
      <w:r w:rsidRPr="00AA585F">
        <w:t xml:space="preserve"> SharePoint </w:t>
      </w:r>
      <w:r w:rsidR="00BE1147">
        <w:t>website</w:t>
      </w:r>
      <w:r w:rsidR="00607699">
        <w:t xml:space="preserve">.  </w:t>
      </w:r>
      <w:r w:rsidRPr="00AA585F">
        <w:t xml:space="preserve">To obtain a SharePoint account, submit an email request </w:t>
      </w:r>
      <w:r w:rsidR="00BE1147">
        <w:t>after December 14</w:t>
      </w:r>
      <w:r w:rsidR="00946CA3">
        <w:t xml:space="preserve">, 2015, but no later than February 15, 2016, </w:t>
      </w:r>
      <w:r w:rsidRPr="00AA585F">
        <w:t xml:space="preserve">to </w:t>
      </w:r>
      <w:hyperlink r:id="rId9" w:history="1">
        <w:r w:rsidRPr="001C6424">
          <w:rPr>
            <w:rStyle w:val="Hyperlink"/>
          </w:rPr>
          <w:t>applicationrequest@chfa.org</w:t>
        </w:r>
      </w:hyperlink>
      <w:r w:rsidRPr="004E7514">
        <w:rPr>
          <w:color w:val="FF0000"/>
        </w:rPr>
        <w:t xml:space="preserve"> </w:t>
      </w:r>
      <w:r w:rsidR="00B76D42">
        <w:t xml:space="preserve">. Include the following information in </w:t>
      </w:r>
      <w:r w:rsidR="00DA4874">
        <w:t>y</w:t>
      </w:r>
      <w:r w:rsidR="00B76D42">
        <w:t>our request:</w:t>
      </w:r>
    </w:p>
    <w:p w14:paraId="55C8E765" w14:textId="77777777" w:rsidR="00AA585F" w:rsidRPr="00F47662" w:rsidRDefault="00AA585F" w:rsidP="007737B3"/>
    <w:p w14:paraId="1C0C103E" w14:textId="365001F3" w:rsidR="004E714E" w:rsidRPr="00F47662" w:rsidRDefault="00F47662" w:rsidP="00F47662">
      <w:pPr>
        <w:pStyle w:val="ListParagraph"/>
        <w:numPr>
          <w:ilvl w:val="0"/>
          <w:numId w:val="20"/>
        </w:numPr>
      </w:pPr>
      <w:r w:rsidRPr="00F47662">
        <w:t xml:space="preserve">Funding Round (e.g. </w:t>
      </w:r>
      <w:r>
        <w:t>2016 Affordable Homeownership</w:t>
      </w:r>
      <w:r w:rsidRPr="00F47662">
        <w:t>)</w:t>
      </w:r>
    </w:p>
    <w:p w14:paraId="15D7DBB7" w14:textId="45544759" w:rsidR="004E714E" w:rsidRPr="00F47662" w:rsidRDefault="00412747" w:rsidP="00F47662">
      <w:pPr>
        <w:pStyle w:val="ListParagraph"/>
        <w:numPr>
          <w:ilvl w:val="0"/>
          <w:numId w:val="20"/>
        </w:numPr>
      </w:pPr>
      <w:r>
        <w:t>Project</w:t>
      </w:r>
      <w:r w:rsidR="00F47662" w:rsidRPr="00F47662">
        <w:t xml:space="preserve"> Name</w:t>
      </w:r>
    </w:p>
    <w:p w14:paraId="1514B002" w14:textId="77777777" w:rsidR="004E714E" w:rsidRPr="00F47662" w:rsidRDefault="00F47662" w:rsidP="00F47662">
      <w:pPr>
        <w:pStyle w:val="ListParagraph"/>
        <w:numPr>
          <w:ilvl w:val="0"/>
          <w:numId w:val="20"/>
        </w:numPr>
      </w:pPr>
      <w:r w:rsidRPr="00F47662">
        <w:t>Company Name</w:t>
      </w:r>
    </w:p>
    <w:p w14:paraId="55B0FCDD" w14:textId="77777777" w:rsidR="004E714E" w:rsidRPr="00F47662" w:rsidRDefault="00F47662" w:rsidP="00F47662">
      <w:pPr>
        <w:pStyle w:val="ListParagraph"/>
        <w:numPr>
          <w:ilvl w:val="0"/>
          <w:numId w:val="20"/>
        </w:numPr>
      </w:pPr>
      <w:r w:rsidRPr="00F47662">
        <w:t>Primary Contact Name</w:t>
      </w:r>
    </w:p>
    <w:p w14:paraId="01E196B6" w14:textId="77777777" w:rsidR="004E714E" w:rsidRPr="00F47662" w:rsidRDefault="00F47662" w:rsidP="00F47662">
      <w:pPr>
        <w:pStyle w:val="ListParagraph"/>
        <w:numPr>
          <w:ilvl w:val="0"/>
          <w:numId w:val="20"/>
        </w:numPr>
      </w:pPr>
      <w:r w:rsidRPr="00F47662">
        <w:t>Primary Contact Email</w:t>
      </w:r>
    </w:p>
    <w:p w14:paraId="465F7139" w14:textId="77777777" w:rsidR="004E714E" w:rsidRPr="00F47662" w:rsidRDefault="00F47662" w:rsidP="00F47662">
      <w:pPr>
        <w:pStyle w:val="ListParagraph"/>
        <w:numPr>
          <w:ilvl w:val="0"/>
          <w:numId w:val="20"/>
        </w:numPr>
      </w:pPr>
      <w:r w:rsidRPr="00F47662">
        <w:t>Primary Contact Phone</w:t>
      </w:r>
    </w:p>
    <w:p w14:paraId="74FA0D25" w14:textId="3F873365" w:rsidR="00F47662" w:rsidRPr="00F47662" w:rsidRDefault="00F47662" w:rsidP="00F47662">
      <w:pPr>
        <w:pStyle w:val="ListParagraph"/>
      </w:pPr>
    </w:p>
    <w:p w14:paraId="248B8098" w14:textId="4607B28A" w:rsidR="00AA585F" w:rsidRPr="00D15E1A" w:rsidRDefault="004E7514" w:rsidP="00B76D42">
      <w:pPr>
        <w:ind w:left="720"/>
      </w:pPr>
      <w:r w:rsidRPr="00B76D42">
        <w:t xml:space="preserve">Applicants will subsequently receive an email from the system administrator that </w:t>
      </w:r>
      <w:r w:rsidRPr="00D15E1A">
        <w:t>contain</w:t>
      </w:r>
      <w:r w:rsidR="00BE1147">
        <w:t>s</w:t>
      </w:r>
      <w:r w:rsidRPr="00D15E1A">
        <w:t xml:space="preserve"> a link to </w:t>
      </w:r>
      <w:r w:rsidR="00BE1147">
        <w:t>the SharePoint website</w:t>
      </w:r>
      <w:r w:rsidRPr="00D15E1A">
        <w:t xml:space="preserve">. </w:t>
      </w:r>
    </w:p>
    <w:p w14:paraId="16D10DBB" w14:textId="77777777" w:rsidR="00AA585F" w:rsidRPr="00D15E1A" w:rsidRDefault="00AA585F" w:rsidP="007737B3"/>
    <w:p w14:paraId="00DDBC52" w14:textId="4D41EB23" w:rsidR="00BE1147" w:rsidRDefault="00BE1147" w:rsidP="00B76D42">
      <w:pPr>
        <w:pStyle w:val="ListParagraph"/>
        <w:numPr>
          <w:ilvl w:val="0"/>
          <w:numId w:val="22"/>
        </w:numPr>
      </w:pPr>
      <w:r>
        <w:t xml:space="preserve">SharePoint instructional videos and presentations are available on the DOH Website. </w:t>
      </w:r>
      <w:r w:rsidR="004041A8" w:rsidRPr="00D15E1A">
        <w:t xml:space="preserve">A review of the ConApp </w:t>
      </w:r>
      <w:r w:rsidR="00902913">
        <w:t>and ShareP</w:t>
      </w:r>
      <w:r w:rsidR="00B76D42" w:rsidRPr="00D15E1A">
        <w:t xml:space="preserve">oint </w:t>
      </w:r>
      <w:r>
        <w:t>website</w:t>
      </w:r>
      <w:r w:rsidR="00902913">
        <w:t xml:space="preserve"> </w:t>
      </w:r>
      <w:r w:rsidR="004041A8" w:rsidRPr="00D15E1A">
        <w:t xml:space="preserve">will be included in the </w:t>
      </w:r>
      <w:r w:rsidR="007830FD" w:rsidRPr="00D15E1A">
        <w:t>“</w:t>
      </w:r>
      <w:r w:rsidR="004041A8" w:rsidRPr="00D15E1A">
        <w:t xml:space="preserve">2016 Affordable Homeownership </w:t>
      </w:r>
      <w:r w:rsidR="007830FD" w:rsidRPr="00D15E1A">
        <w:t xml:space="preserve">NOFA </w:t>
      </w:r>
      <w:r w:rsidR="004041A8" w:rsidRPr="00D15E1A">
        <w:t xml:space="preserve">Applicant Information </w:t>
      </w:r>
      <w:r w:rsidR="007830FD" w:rsidRPr="00D15E1A">
        <w:t>Webinar S</w:t>
      </w:r>
      <w:r w:rsidR="004041A8" w:rsidRPr="00D15E1A">
        <w:t>ession</w:t>
      </w:r>
      <w:r w:rsidR="007830FD" w:rsidRPr="00D15E1A">
        <w:t>”</w:t>
      </w:r>
      <w:r w:rsidR="00412747">
        <w:t xml:space="preserve"> described below</w:t>
      </w:r>
      <w:r w:rsidR="004041A8" w:rsidRPr="00D15E1A">
        <w:t xml:space="preserve">. </w:t>
      </w:r>
    </w:p>
    <w:p w14:paraId="4D0559BD" w14:textId="77777777" w:rsidR="00BE1147" w:rsidRDefault="00BE1147" w:rsidP="00BE1147">
      <w:pPr>
        <w:pStyle w:val="ListParagraph"/>
      </w:pPr>
    </w:p>
    <w:p w14:paraId="15B42BD8" w14:textId="558E3EA0" w:rsidR="007737B3" w:rsidRPr="00D15E1A" w:rsidRDefault="007737B3" w:rsidP="00B76D42">
      <w:pPr>
        <w:pStyle w:val="ListParagraph"/>
        <w:numPr>
          <w:ilvl w:val="0"/>
          <w:numId w:val="22"/>
        </w:numPr>
      </w:pPr>
      <w:r w:rsidRPr="00D15E1A">
        <w:rPr>
          <w:b/>
          <w:u w:val="single"/>
        </w:rPr>
        <w:t>Hard copies of application materials will not be accepted</w:t>
      </w:r>
      <w:r w:rsidRPr="00D15E1A">
        <w:t xml:space="preserve"> except for architectural drawings and project manuals, which </w:t>
      </w:r>
      <w:r w:rsidRPr="00D15E1A">
        <w:rPr>
          <w:b/>
          <w:u w:val="single"/>
        </w:rPr>
        <w:t>must</w:t>
      </w:r>
      <w:r w:rsidRPr="00D15E1A">
        <w:rPr>
          <w:b/>
        </w:rPr>
        <w:t xml:space="preserve"> </w:t>
      </w:r>
      <w:r w:rsidRPr="00D15E1A">
        <w:t xml:space="preserve">be submitted in hard copy to DOH by the </w:t>
      </w:r>
      <w:r w:rsidR="00C436B4" w:rsidRPr="00D15E1A">
        <w:t>February 29,</w:t>
      </w:r>
      <w:r w:rsidR="004041A8" w:rsidRPr="00D15E1A">
        <w:t xml:space="preserve"> </w:t>
      </w:r>
      <w:r w:rsidR="00C436B4" w:rsidRPr="00D15E1A">
        <w:t>2016</w:t>
      </w:r>
      <w:r w:rsidRPr="00D15E1A">
        <w:t xml:space="preserve"> 4:00 p.m. deadline.   </w:t>
      </w:r>
    </w:p>
    <w:p w14:paraId="085F3250" w14:textId="77777777" w:rsidR="006A782B" w:rsidRDefault="006A782B" w:rsidP="008633AA"/>
    <w:p w14:paraId="2883B45D" w14:textId="504FE886" w:rsidR="006A782B" w:rsidRDefault="006A782B" w:rsidP="00B76D42">
      <w:pPr>
        <w:pStyle w:val="ListParagraph"/>
        <w:numPr>
          <w:ilvl w:val="0"/>
          <w:numId w:val="22"/>
        </w:numPr>
      </w:pPr>
      <w:r>
        <w:t xml:space="preserve">In addition to the ConApp CORE items macro button, applicants must also choose </w:t>
      </w:r>
      <w:r w:rsidR="00B76D42">
        <w:t xml:space="preserve">either the </w:t>
      </w:r>
      <w:r w:rsidRPr="00D15E1A">
        <w:t>DOH Small Project macro-button</w:t>
      </w:r>
      <w:r w:rsidR="00B76D42" w:rsidRPr="00D15E1A">
        <w:t xml:space="preserve"> </w:t>
      </w:r>
      <w:r w:rsidR="00B76D42" w:rsidRPr="00D15E1A">
        <w:rPr>
          <w:b/>
          <w:u w:val="single"/>
        </w:rPr>
        <w:t>or</w:t>
      </w:r>
      <w:r w:rsidR="00B76D42" w:rsidRPr="00D15E1A">
        <w:t xml:space="preserve"> the DOH Large Project macro-button</w:t>
      </w:r>
      <w:r w:rsidRPr="00D15E1A">
        <w:t>.</w:t>
      </w:r>
      <w:r w:rsidR="00B76D42" w:rsidRPr="00B76D42">
        <w:t xml:space="preserve"> </w:t>
      </w:r>
      <w:r w:rsidR="00B76D42">
        <w:t xml:space="preserve">Projects proposing </w:t>
      </w:r>
      <w:r w:rsidR="00412747">
        <w:t>fewer</w:t>
      </w:r>
      <w:r w:rsidR="00B76D42">
        <w:t xml:space="preserve"> than </w:t>
      </w:r>
      <w:r w:rsidR="00D15E1A">
        <w:t>ten</w:t>
      </w:r>
      <w:r w:rsidR="00B76D42">
        <w:t xml:space="preserve"> </w:t>
      </w:r>
      <w:r w:rsidR="00DA4874">
        <w:t xml:space="preserve">homeownership </w:t>
      </w:r>
      <w:r w:rsidR="00B76D42">
        <w:t>units may use the DOH Small Project application in the ConApp</w:t>
      </w:r>
      <w:r w:rsidR="00D15E1A">
        <w:t xml:space="preserve">; projects proposing ten or more </w:t>
      </w:r>
      <w:r w:rsidR="00DA4874">
        <w:t xml:space="preserve">homeownership </w:t>
      </w:r>
      <w:r w:rsidR="00D15E1A">
        <w:t>units must choose the DOH Large Project macro-button</w:t>
      </w:r>
      <w:r w:rsidR="00B76D42">
        <w:t>.</w:t>
      </w:r>
      <w:r>
        <w:t xml:space="preserve"> All items identified as required under these two macro buttons</w:t>
      </w:r>
      <w:r w:rsidR="00D15E1A">
        <w:t xml:space="preserve"> (CORE items </w:t>
      </w:r>
      <w:r w:rsidR="00D15E1A" w:rsidRPr="00D15E1A">
        <w:rPr>
          <w:b/>
          <w:u w:val="single"/>
        </w:rPr>
        <w:t>and</w:t>
      </w:r>
      <w:r w:rsidR="00D15E1A">
        <w:t xml:space="preserve"> DOH Small </w:t>
      </w:r>
      <w:r w:rsidR="00412747">
        <w:t xml:space="preserve">Project </w:t>
      </w:r>
      <w:r w:rsidR="00D15E1A" w:rsidRPr="00902913">
        <w:rPr>
          <w:i/>
        </w:rPr>
        <w:t>or</w:t>
      </w:r>
      <w:r w:rsidR="00D15E1A">
        <w:t xml:space="preserve"> </w:t>
      </w:r>
      <w:r w:rsidR="00412747">
        <w:t xml:space="preserve">DOH </w:t>
      </w:r>
      <w:r w:rsidR="00D15E1A">
        <w:t xml:space="preserve">Large Project, as applicable) </w:t>
      </w:r>
      <w:r>
        <w:t>must be submitted to be considered a complete application.</w:t>
      </w:r>
    </w:p>
    <w:p w14:paraId="264890EF" w14:textId="77777777" w:rsidR="006A782B" w:rsidRDefault="006A782B" w:rsidP="006A782B"/>
    <w:p w14:paraId="1E0F00B3" w14:textId="2FC1B61E" w:rsidR="006A782B" w:rsidRDefault="006A782B" w:rsidP="00D15E1A">
      <w:pPr>
        <w:pStyle w:val="ListParagraph"/>
        <w:numPr>
          <w:ilvl w:val="0"/>
          <w:numId w:val="22"/>
        </w:numPr>
      </w:pPr>
      <w:r>
        <w:lastRenderedPageBreak/>
        <w:t xml:space="preserve">Applications must include, at a minimum, architectural drawings and project specifications that meet the 40% completion standard. Applications not accompanied by 40% architectural drawings and specifications will not be considered. </w:t>
      </w:r>
    </w:p>
    <w:p w14:paraId="4375AEDA" w14:textId="77777777" w:rsidR="006A782B" w:rsidRDefault="006A782B" w:rsidP="006A782B"/>
    <w:p w14:paraId="4719D059" w14:textId="47DF3504" w:rsidR="006A782B" w:rsidRDefault="006A782B" w:rsidP="00D15E1A">
      <w:pPr>
        <w:pStyle w:val="ListParagraph"/>
        <w:numPr>
          <w:ilvl w:val="0"/>
          <w:numId w:val="22"/>
        </w:numPr>
      </w:pPr>
      <w:r>
        <w:t xml:space="preserve">Application materials must clearly demonstrate the location of the project in relation to both the 100 year and 500 year FEMA floodplain boundaries. Application materials for any project located in proximity to a designated floodplain must include supporting documentation, including, but not limited to, a survey that demonstrates that the project is located outside of the 100 </w:t>
      </w:r>
      <w:r w:rsidR="00412747">
        <w:t>and</w:t>
      </w:r>
      <w:r>
        <w:t xml:space="preserve"> 500 year floodplain or, for development projects that are located within a 100 or 500 year floodplain, applicants must include supporting documentation that: (a) demonstrates that the project incorporates safe evacuation routes in times of a flood; (b)</w:t>
      </w:r>
      <w:r w:rsidR="00FF41C3">
        <w:t xml:space="preserve"> </w:t>
      </w:r>
      <w:r>
        <w:t xml:space="preserve">does not involve the placement of utilities that will promote or encourage future development within the 100 or 500 year floodplain; (c) does not increase the potential to cause or pose a hazard to human life, health or property if it is destroyed or damaged due to flooding; or (d) does not involve the placement of fill within a watercourse or any water to create dry land to allow for the construction of a structure. If any of these criteria cannot be demonstrated, an applicant must so indicate and explain how the project is nevertheless feasible and justifies an exception to the relevant statutory provisions discouraging such projects. Applications that do not clearly satisfy the criteria mentioned above or comply with the State’s flood management requirements (CGS Section 25-68d(b) </w:t>
      </w:r>
      <w:r w:rsidR="00FF41C3">
        <w:t>and Sections 25-68h-1 through</w:t>
      </w:r>
      <w:r>
        <w:t xml:space="preserve"> 25-68h-3 of the Regulations for State Agencies) may be removed from the competition by Commissioner discretion.</w:t>
      </w:r>
    </w:p>
    <w:p w14:paraId="123D0E93" w14:textId="77777777" w:rsidR="008633AA" w:rsidRDefault="008633AA" w:rsidP="00955198"/>
    <w:p w14:paraId="4142E874" w14:textId="77777777" w:rsidR="00902913" w:rsidRDefault="00902913" w:rsidP="00902913">
      <w:pPr>
        <w:pStyle w:val="ListParagraph"/>
        <w:numPr>
          <w:ilvl w:val="0"/>
          <w:numId w:val="22"/>
        </w:numPr>
      </w:pPr>
      <w:r w:rsidRPr="00FC0179">
        <w:t>After the submission deadline, an applicant may be asked to provide additional information regarding its application.</w:t>
      </w:r>
    </w:p>
    <w:p w14:paraId="18E5C1A7" w14:textId="77777777" w:rsidR="00902913" w:rsidRDefault="00902913" w:rsidP="00955198"/>
    <w:p w14:paraId="18BBA00E" w14:textId="640F9576" w:rsidR="00C31D70" w:rsidRDefault="00C31D70" w:rsidP="00C31D70">
      <w:pPr>
        <w:pStyle w:val="ListParagraph"/>
        <w:numPr>
          <w:ilvl w:val="0"/>
          <w:numId w:val="10"/>
        </w:numPr>
        <w:ind w:hanging="720"/>
      </w:pPr>
      <w:r w:rsidRPr="00B428C3">
        <w:rPr>
          <w:u w:val="single"/>
        </w:rPr>
        <w:t xml:space="preserve">Application </w:t>
      </w:r>
      <w:r>
        <w:rPr>
          <w:u w:val="single"/>
        </w:rPr>
        <w:t>Information Session</w:t>
      </w:r>
      <w:r w:rsidRPr="00B428C3">
        <w:t>:</w:t>
      </w:r>
    </w:p>
    <w:p w14:paraId="44E5C8BA" w14:textId="2F326CA8" w:rsidR="00C31D70" w:rsidRPr="00B428C3" w:rsidRDefault="000272AB" w:rsidP="00C31D70">
      <w:r>
        <w:t xml:space="preserve">The </w:t>
      </w:r>
      <w:r w:rsidR="007830FD">
        <w:t xml:space="preserve">“2016 </w:t>
      </w:r>
      <w:r>
        <w:t>Affordable Homeownership NOFA Applicant Information Webinar Session</w:t>
      </w:r>
      <w:r w:rsidR="007830FD">
        <w:t>”</w:t>
      </w:r>
      <w:r w:rsidR="00FF41C3">
        <w:t xml:space="preserve"> will be held in December </w:t>
      </w:r>
      <w:r>
        <w:t xml:space="preserve">2015. </w:t>
      </w:r>
      <w:r w:rsidRPr="000272AB">
        <w:t>To register for the GoToMeeting Webinar, contact Marilyn Taylor at </w:t>
      </w:r>
      <w:hyperlink r:id="rId10" w:history="1">
        <w:r w:rsidRPr="00FA25F6">
          <w:rPr>
            <w:rStyle w:val="Hyperlink"/>
          </w:rPr>
          <w:t>Marilyn.Taylor@ct.gov</w:t>
        </w:r>
      </w:hyperlink>
      <w:r>
        <w:t xml:space="preserve"> </w:t>
      </w:r>
      <w:r w:rsidRPr="000272AB">
        <w:t xml:space="preserve">no later than </w:t>
      </w:r>
      <w:r w:rsidR="00167D92">
        <w:rPr>
          <w:u w:val="single"/>
        </w:rPr>
        <w:t>4:00 p.m</w:t>
      </w:r>
      <w:r w:rsidR="00167D92" w:rsidRPr="00B428C3">
        <w:rPr>
          <w:u w:val="single"/>
        </w:rPr>
        <w:t xml:space="preserve">. on Monday, </w:t>
      </w:r>
      <w:r w:rsidR="00167D92">
        <w:rPr>
          <w:u w:val="single"/>
        </w:rPr>
        <w:t>November 30</w:t>
      </w:r>
      <w:r w:rsidR="00167D92" w:rsidRPr="00B428C3">
        <w:rPr>
          <w:u w:val="single"/>
        </w:rPr>
        <w:t>, 201</w:t>
      </w:r>
      <w:r w:rsidR="00167D92">
        <w:rPr>
          <w:u w:val="single"/>
        </w:rPr>
        <w:t xml:space="preserve">5 </w:t>
      </w:r>
      <w:r w:rsidR="00167D92" w:rsidRPr="00167D92">
        <w:t xml:space="preserve">and include </w:t>
      </w:r>
      <w:r w:rsidR="00167D92">
        <w:t>“Homeownership Webinar Registration” in the subject line</w:t>
      </w:r>
      <w:r w:rsidRPr="000272AB">
        <w:t>.</w:t>
      </w:r>
      <w:r w:rsidR="00167D92">
        <w:t xml:space="preserve"> </w:t>
      </w:r>
      <w:r w:rsidRPr="000272AB">
        <w:t>Information about how to login to the Webinar will be emailed to all registered applicants.</w:t>
      </w:r>
    </w:p>
    <w:p w14:paraId="26FB7B73" w14:textId="77777777" w:rsidR="00C31D70" w:rsidRPr="00B428C3" w:rsidRDefault="00C31D70" w:rsidP="00955198"/>
    <w:p w14:paraId="4B64C843" w14:textId="77777777" w:rsidR="00B17B13" w:rsidRPr="00B428C3" w:rsidRDefault="00A757C6" w:rsidP="00B17B13">
      <w:pPr>
        <w:pStyle w:val="ListParagraph"/>
        <w:numPr>
          <w:ilvl w:val="0"/>
          <w:numId w:val="10"/>
        </w:numPr>
        <w:ind w:hanging="720"/>
      </w:pPr>
      <w:r w:rsidRPr="00B428C3">
        <w:rPr>
          <w:u w:val="single"/>
        </w:rPr>
        <w:t>Application Questions and Deadlines</w:t>
      </w:r>
      <w:r w:rsidR="00466CCD" w:rsidRPr="00B428C3">
        <w:t>:</w:t>
      </w:r>
    </w:p>
    <w:p w14:paraId="74638848" w14:textId="2B18CDD4" w:rsidR="00861324" w:rsidRPr="00B428C3" w:rsidRDefault="00A757C6" w:rsidP="00861324">
      <w:r w:rsidRPr="00B428C3">
        <w:t>The submission deadline for funding a</w:t>
      </w:r>
      <w:r w:rsidR="00861324" w:rsidRPr="00B428C3">
        <w:t xml:space="preserve">pplications </w:t>
      </w:r>
      <w:r w:rsidR="00F42748" w:rsidRPr="00B428C3">
        <w:t xml:space="preserve">under this NOFA </w:t>
      </w:r>
      <w:r w:rsidRPr="00B428C3">
        <w:t xml:space="preserve">is </w:t>
      </w:r>
      <w:r w:rsidR="00AB6ACD">
        <w:rPr>
          <w:u w:val="single"/>
        </w:rPr>
        <w:t>4:00 p.m</w:t>
      </w:r>
      <w:r w:rsidRPr="00B428C3">
        <w:rPr>
          <w:u w:val="single"/>
        </w:rPr>
        <w:t xml:space="preserve">. on </w:t>
      </w:r>
      <w:r w:rsidR="00DE60CC" w:rsidRPr="00B428C3">
        <w:rPr>
          <w:u w:val="single"/>
        </w:rPr>
        <w:t>Monday</w:t>
      </w:r>
      <w:r w:rsidR="00861324" w:rsidRPr="00B428C3">
        <w:rPr>
          <w:u w:val="single"/>
        </w:rPr>
        <w:t xml:space="preserve">, </w:t>
      </w:r>
      <w:r w:rsidR="004041A8">
        <w:rPr>
          <w:u w:val="single"/>
        </w:rPr>
        <w:t>February</w:t>
      </w:r>
      <w:r w:rsidR="00DE60CC" w:rsidRPr="00B428C3">
        <w:rPr>
          <w:u w:val="single"/>
        </w:rPr>
        <w:t xml:space="preserve"> 2</w:t>
      </w:r>
      <w:r w:rsidR="004041A8">
        <w:rPr>
          <w:u w:val="single"/>
        </w:rPr>
        <w:t>9</w:t>
      </w:r>
      <w:r w:rsidR="00DE60CC" w:rsidRPr="00B428C3">
        <w:rPr>
          <w:u w:val="single"/>
        </w:rPr>
        <w:t>, 201</w:t>
      </w:r>
      <w:r w:rsidR="004041A8">
        <w:rPr>
          <w:u w:val="single"/>
        </w:rPr>
        <w:t>6</w:t>
      </w:r>
      <w:r w:rsidRPr="00B428C3">
        <w:t>. App</w:t>
      </w:r>
      <w:r w:rsidR="00FF41C3">
        <w:t>lications received through the DOH/CHFA</w:t>
      </w:r>
      <w:r w:rsidRPr="00B428C3">
        <w:t xml:space="preserve"> </w:t>
      </w:r>
      <w:r w:rsidR="00902913">
        <w:t>SharePoint</w:t>
      </w:r>
      <w:r w:rsidRPr="00B428C3">
        <w:t xml:space="preserve"> </w:t>
      </w:r>
      <w:r w:rsidR="00FF41C3">
        <w:t>website</w:t>
      </w:r>
      <w:r w:rsidRPr="00B428C3">
        <w:t xml:space="preserve"> prior to the deadline </w:t>
      </w:r>
      <w:r w:rsidR="00FF41C3">
        <w:t xml:space="preserve">and that meet the minimum threshold requirements described in this NOFA </w:t>
      </w:r>
      <w:r w:rsidRPr="00B428C3">
        <w:t xml:space="preserve">will be considered for funding. </w:t>
      </w:r>
    </w:p>
    <w:p w14:paraId="2970191C" w14:textId="77777777" w:rsidR="00861324" w:rsidRPr="00B428C3" w:rsidRDefault="00861324" w:rsidP="00861324"/>
    <w:p w14:paraId="4C8010D3" w14:textId="7D07B0DB" w:rsidR="00861324" w:rsidRPr="00B428C3" w:rsidRDefault="00861324" w:rsidP="00861324">
      <w:r w:rsidRPr="00B428C3">
        <w:t xml:space="preserve">Prior to the submission deadline above, applicants </w:t>
      </w:r>
      <w:r w:rsidR="000B76A0" w:rsidRPr="00B428C3">
        <w:t>may</w:t>
      </w:r>
      <w:r w:rsidRPr="00B428C3">
        <w:t xml:space="preserve"> contact </w:t>
      </w:r>
      <w:r w:rsidR="00DE60CC" w:rsidRPr="00B428C3">
        <w:t xml:space="preserve">Colette Slover </w:t>
      </w:r>
      <w:r w:rsidRPr="00B428C3">
        <w:t xml:space="preserve">via email at </w:t>
      </w:r>
      <w:hyperlink r:id="rId11" w:history="1">
        <w:r w:rsidR="00DE60CC" w:rsidRPr="00B428C3">
          <w:rPr>
            <w:rStyle w:val="Hyperlink"/>
            <w:color w:val="auto"/>
          </w:rPr>
          <w:t>colette.slover@ct.gov</w:t>
        </w:r>
      </w:hyperlink>
      <w:r w:rsidR="00F44644" w:rsidRPr="00B428C3">
        <w:t xml:space="preserve"> </w:t>
      </w:r>
      <w:r w:rsidRPr="00B428C3">
        <w:t>with any questions</w:t>
      </w:r>
      <w:r w:rsidR="008633AA" w:rsidRPr="00B428C3">
        <w:t xml:space="preserve"> regarding this NOFA.  All such questions recei</w:t>
      </w:r>
      <w:r w:rsidR="00390F2A" w:rsidRPr="00B428C3">
        <w:t xml:space="preserve">ved before 4:00 </w:t>
      </w:r>
      <w:r w:rsidR="001B1972" w:rsidRPr="00B428C3">
        <w:t xml:space="preserve">on </w:t>
      </w:r>
      <w:r w:rsidR="00B428C3" w:rsidRPr="00B428C3">
        <w:t xml:space="preserve">February </w:t>
      </w:r>
      <w:r w:rsidR="004041A8">
        <w:t>9</w:t>
      </w:r>
      <w:r w:rsidR="001B1972" w:rsidRPr="00B428C3">
        <w:t>, </w:t>
      </w:r>
      <w:r w:rsidR="00575BB8" w:rsidRPr="00B428C3">
        <w:t>201</w:t>
      </w:r>
      <w:r w:rsidR="004041A8">
        <w:t>6</w:t>
      </w:r>
      <w:r w:rsidR="008633AA" w:rsidRPr="00B428C3">
        <w:t xml:space="preserve">, will be answered on a rolling basis and the questions and answers will be posted on </w:t>
      </w:r>
      <w:r w:rsidR="00575BB8" w:rsidRPr="00B428C3">
        <w:t>the DOH</w:t>
      </w:r>
      <w:r w:rsidR="0032648E">
        <w:t xml:space="preserve"> W</w:t>
      </w:r>
      <w:r w:rsidR="008633AA" w:rsidRPr="00B428C3">
        <w:t>ebsite.</w:t>
      </w:r>
      <w:r w:rsidR="006B6296" w:rsidRPr="00B428C3">
        <w:t xml:space="preserve">  </w:t>
      </w:r>
      <w:r w:rsidRPr="00B428C3">
        <w:t>An announcement of the award</w:t>
      </w:r>
      <w:r w:rsidR="00B428C3" w:rsidRPr="00B428C3">
        <w:t>s</w:t>
      </w:r>
      <w:r w:rsidRPr="00B428C3">
        <w:t xml:space="preserve"> of funding under this NO</w:t>
      </w:r>
      <w:r w:rsidR="008633AA" w:rsidRPr="00B428C3">
        <w:t>FA is anticipated to be made</w:t>
      </w:r>
      <w:r w:rsidR="00575BB8" w:rsidRPr="00B428C3">
        <w:t xml:space="preserve"> in </w:t>
      </w:r>
      <w:r w:rsidR="004041A8">
        <w:t>May 2016</w:t>
      </w:r>
      <w:r w:rsidRPr="00B428C3">
        <w:t>.</w:t>
      </w:r>
    </w:p>
    <w:p w14:paraId="53E803E8" w14:textId="77777777" w:rsidR="00F66D10" w:rsidRDefault="00F66D10" w:rsidP="007A39DB">
      <w:pPr>
        <w:rPr>
          <w:color w:val="FF0000"/>
        </w:rPr>
      </w:pPr>
    </w:p>
    <w:p w14:paraId="5F2BF904" w14:textId="77777777" w:rsidR="00BE1147" w:rsidRDefault="00BE1147" w:rsidP="007A39DB">
      <w:pPr>
        <w:rPr>
          <w:color w:val="FF0000"/>
        </w:rPr>
      </w:pPr>
    </w:p>
    <w:p w14:paraId="34FCE991" w14:textId="77777777" w:rsidR="00BE1147" w:rsidRPr="007A39DB" w:rsidRDefault="00BE1147" w:rsidP="007A39DB">
      <w:pPr>
        <w:rPr>
          <w:color w:val="FF0000"/>
        </w:rPr>
      </w:pPr>
    </w:p>
    <w:p w14:paraId="23A156D9" w14:textId="77777777" w:rsidR="00466CCD" w:rsidRPr="00B428C3" w:rsidRDefault="00466CCD" w:rsidP="00B17B13">
      <w:pPr>
        <w:pStyle w:val="ListParagraph"/>
        <w:numPr>
          <w:ilvl w:val="0"/>
          <w:numId w:val="10"/>
        </w:numPr>
        <w:ind w:hanging="720"/>
      </w:pPr>
      <w:r w:rsidRPr="00B428C3">
        <w:rPr>
          <w:u w:val="single"/>
        </w:rPr>
        <w:lastRenderedPageBreak/>
        <w:t>Selection Criteria</w:t>
      </w:r>
      <w:r w:rsidRPr="00B428C3">
        <w:t>:</w:t>
      </w:r>
    </w:p>
    <w:p w14:paraId="7F8D8CDC" w14:textId="3D15BB75" w:rsidR="00861324" w:rsidRPr="00B428C3" w:rsidRDefault="004041A8" w:rsidP="00B428C3">
      <w:r>
        <w:t>Applications</w:t>
      </w:r>
      <w:r w:rsidR="00B428C3">
        <w:t xml:space="preserve"> will be </w:t>
      </w:r>
      <w:r w:rsidR="001E40B4" w:rsidRPr="00B428C3">
        <w:t xml:space="preserve">rated and ranked </w:t>
      </w:r>
      <w:r w:rsidR="00B428C3">
        <w:t xml:space="preserve">based on the Affordable Homeownership Rating and Ranking form available on the DOH </w:t>
      </w:r>
      <w:r w:rsidR="0032648E">
        <w:t>W</w:t>
      </w:r>
      <w:r w:rsidR="00B428C3">
        <w:t xml:space="preserve">ebsite. </w:t>
      </w:r>
    </w:p>
    <w:p w14:paraId="36B82D25" w14:textId="77777777" w:rsidR="00902913" w:rsidRPr="009F549B" w:rsidRDefault="00902913" w:rsidP="009F549B">
      <w:pPr>
        <w:rPr>
          <w:color w:val="FF0000"/>
        </w:rPr>
      </w:pPr>
    </w:p>
    <w:p w14:paraId="64FA4510" w14:textId="77777777" w:rsidR="00466CCD" w:rsidRPr="00390F2A" w:rsidRDefault="00720186" w:rsidP="00B17B13">
      <w:pPr>
        <w:pStyle w:val="ListParagraph"/>
        <w:numPr>
          <w:ilvl w:val="0"/>
          <w:numId w:val="10"/>
        </w:numPr>
        <w:ind w:hanging="720"/>
      </w:pPr>
      <w:r w:rsidRPr="00390F2A">
        <w:rPr>
          <w:u w:val="single"/>
        </w:rPr>
        <w:t>Reservations</w:t>
      </w:r>
      <w:r w:rsidR="00466CCD" w:rsidRPr="00390F2A">
        <w:t>:</w:t>
      </w:r>
    </w:p>
    <w:p w14:paraId="7038701E" w14:textId="77777777" w:rsidR="008633AA" w:rsidRPr="00A376C6" w:rsidRDefault="00720186" w:rsidP="008633AA">
      <w:pPr>
        <w:rPr>
          <w:color w:val="FF0000"/>
        </w:rPr>
      </w:pPr>
      <w:r w:rsidRPr="00390F2A">
        <w:t>All applications submitted in response to this NOFA are the sole property of the State and subject to the provisions of Connecticut’s Freedom of Information Act, CGS §1-200 et seq</w:t>
      </w:r>
      <w:r w:rsidR="003734D7" w:rsidRPr="00390F2A">
        <w:t xml:space="preserve">., which provides that public records and documents are subject to public access and copying unless specific exemptions to disclosure exist.  If an </w:t>
      </w:r>
      <w:r w:rsidR="00F442A6" w:rsidRPr="00390F2A">
        <w:t>a</w:t>
      </w:r>
      <w:r w:rsidR="003734D7" w:rsidRPr="00390F2A">
        <w:t xml:space="preserve">pplicant believes that portions of its application are exempt from disclosure, the </w:t>
      </w:r>
      <w:r w:rsidR="00F442A6" w:rsidRPr="00390F2A">
        <w:t>a</w:t>
      </w:r>
      <w:r w:rsidR="003734D7" w:rsidRPr="00390F2A">
        <w:t>pplicant should mark the specific portions as confidential.  Acceptance of an application by D</w:t>
      </w:r>
      <w:r w:rsidR="006813C4" w:rsidRPr="00390F2A">
        <w:t>OH</w:t>
      </w:r>
      <w:r w:rsidR="003734D7" w:rsidRPr="00390F2A">
        <w:t xml:space="preserve"> which contains such reservations is not an agreement that the material is confidential or exempt from disclosure.  </w:t>
      </w:r>
      <w:r w:rsidRPr="00390F2A">
        <w:t>D</w:t>
      </w:r>
      <w:r w:rsidR="006813C4" w:rsidRPr="00390F2A">
        <w:t>OH</w:t>
      </w:r>
      <w:r w:rsidRPr="00390F2A">
        <w:t xml:space="preserve"> reserves the rig</w:t>
      </w:r>
      <w:r w:rsidR="00D907F9" w:rsidRPr="00390F2A">
        <w:t xml:space="preserve">ht to amend or cancel this NOFA, </w:t>
      </w:r>
      <w:r w:rsidRPr="00390F2A">
        <w:t>to modify or waive any requirement, condition or other term set forth in this NOFA or the Consolidated Application, to request additional information at any time from one or more applicants, to select any number of applications submitted in response to this NOFA, or to reject any or all such applications</w:t>
      </w:r>
      <w:r w:rsidR="00D907F9" w:rsidRPr="00390F2A">
        <w:t>, in each case at D</w:t>
      </w:r>
      <w:r w:rsidR="006813C4" w:rsidRPr="00390F2A">
        <w:t>OH</w:t>
      </w:r>
      <w:r w:rsidR="00D907F9" w:rsidRPr="00390F2A">
        <w:t>’s sole discretion</w:t>
      </w:r>
      <w:r w:rsidRPr="00390F2A">
        <w:t>.  D</w:t>
      </w:r>
      <w:r w:rsidR="006813C4" w:rsidRPr="00390F2A">
        <w:t>OH</w:t>
      </w:r>
      <w:r w:rsidRPr="00390F2A">
        <w:t xml:space="preserve"> may exercise the foregoing rights at any time without notice and without liability to any applicant or any other party.  Applications to this NOFA shall be prepared at the sole expense of the applicant and shall not obligate D</w:t>
      </w:r>
      <w:r w:rsidR="006813C4" w:rsidRPr="00390F2A">
        <w:t>OH</w:t>
      </w:r>
      <w:r w:rsidRPr="00390F2A">
        <w:t xml:space="preserve"> to procure any of the services described therein or herein from any applicant.</w:t>
      </w:r>
      <w:r w:rsidR="00D907F9" w:rsidRPr="00390F2A">
        <w:t xml:space="preserve">  </w:t>
      </w:r>
      <w:r w:rsidR="008633AA" w:rsidRPr="00390F2A">
        <w:t>D</w:t>
      </w:r>
      <w:r w:rsidR="006813C4" w:rsidRPr="00390F2A">
        <w:t>OH</w:t>
      </w:r>
      <w:r w:rsidR="008633AA" w:rsidRPr="00390F2A">
        <w:t xml:space="preserve"> shall not be obligated to any applicant until a final written agreement has been executed by all necessary parties thereto and all applicable approvals have been obtained.</w:t>
      </w:r>
    </w:p>
    <w:p w14:paraId="40323206" w14:textId="77777777" w:rsidR="004375AB" w:rsidRPr="00A376C6" w:rsidRDefault="004375AB" w:rsidP="008633AA">
      <w:pPr>
        <w:rPr>
          <w:color w:val="FF0000"/>
        </w:rPr>
      </w:pPr>
    </w:p>
    <w:p w14:paraId="60B5E539" w14:textId="77777777" w:rsidR="00FF7F5E" w:rsidRDefault="00FF7F5E">
      <w:pPr>
        <w:rPr>
          <w:color w:val="FF0000"/>
        </w:rPr>
      </w:pPr>
    </w:p>
    <w:sectPr w:rsidR="00FF7F5E" w:rsidSect="00F442A6">
      <w:headerReference w:type="default" r:id="rId12"/>
      <w:footerReference w:type="default" r:id="rId13"/>
      <w:pgSz w:w="12240" w:h="15840"/>
      <w:pgMar w:top="1152"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520ED3" w14:textId="77777777" w:rsidR="0032648E" w:rsidRDefault="0032648E" w:rsidP="00712FCA">
      <w:r>
        <w:separator/>
      </w:r>
    </w:p>
  </w:endnote>
  <w:endnote w:type="continuationSeparator" w:id="0">
    <w:p w14:paraId="177BC4BC" w14:textId="77777777" w:rsidR="0032648E" w:rsidRDefault="0032648E" w:rsidP="00712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Roman">
    <w:altName w:val="Times New Roman"/>
    <w:charset w:val="00"/>
    <w:family w:val="auto"/>
    <w:pitch w:val="default"/>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313113"/>
      <w:docPartObj>
        <w:docPartGallery w:val="Page Numbers (Bottom of Page)"/>
        <w:docPartUnique/>
      </w:docPartObj>
    </w:sdtPr>
    <w:sdtEndPr/>
    <w:sdtContent>
      <w:p w14:paraId="33EC6A42" w14:textId="77777777" w:rsidR="0032648E" w:rsidRDefault="0032648E">
        <w:pPr>
          <w:pStyle w:val="Footer"/>
          <w:jc w:val="center"/>
        </w:pPr>
      </w:p>
      <w:p w14:paraId="0FB53567" w14:textId="77777777" w:rsidR="0032648E" w:rsidRDefault="00535A5A">
        <w:pPr>
          <w:pStyle w:val="Footer"/>
          <w:jc w:val="center"/>
        </w:pPr>
        <w:r>
          <w:fldChar w:fldCharType="begin"/>
        </w:r>
        <w:r>
          <w:instrText xml:space="preserve"> PAGE   \* MERGEFORMAT </w:instrText>
        </w:r>
        <w:r>
          <w:fldChar w:fldCharType="separate"/>
        </w:r>
        <w:r w:rsidR="00774040">
          <w:rPr>
            <w:noProof/>
          </w:rPr>
          <w:t>1</w:t>
        </w:r>
        <w:r>
          <w:rPr>
            <w:noProof/>
          </w:rPr>
          <w:fldChar w:fldCharType="end"/>
        </w:r>
      </w:p>
    </w:sdtContent>
  </w:sdt>
  <w:p w14:paraId="35CE7893" w14:textId="77777777" w:rsidR="0032648E" w:rsidRDefault="003264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AEBB01" w14:textId="77777777" w:rsidR="0032648E" w:rsidRDefault="0032648E" w:rsidP="00712FCA">
      <w:r>
        <w:separator/>
      </w:r>
    </w:p>
  </w:footnote>
  <w:footnote w:type="continuationSeparator" w:id="0">
    <w:p w14:paraId="1A057DFE" w14:textId="77777777" w:rsidR="0032648E" w:rsidRDefault="0032648E" w:rsidP="00712F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C15948" w14:textId="7A490276" w:rsidR="0032648E" w:rsidRPr="00AF1C85" w:rsidRDefault="0032648E" w:rsidP="00A90CA4">
    <w:pPr>
      <w:pStyle w:val="Header"/>
      <w:jc w:val="right"/>
    </w:pPr>
    <w:r w:rsidRPr="00AF1C85">
      <w:rPr>
        <w:b/>
      </w:rPr>
      <w:t xml:space="preserve">Released September </w:t>
    </w:r>
    <w:r w:rsidR="00774040">
      <w:rPr>
        <w:b/>
      </w:rPr>
      <w:t>30</w:t>
    </w:r>
    <w:r w:rsidRPr="00AF1C85">
      <w:rPr>
        <w:b/>
      </w:rPr>
      <w:t>, 201</w:t>
    </w:r>
    <w:r w:rsidR="00C436B4" w:rsidRPr="00AF1C85">
      <w:rPr>
        <w:b/>
      </w:rPr>
      <w:t>5</w:t>
    </w:r>
  </w:p>
  <w:p w14:paraId="298AD2B6" w14:textId="77777777" w:rsidR="0032648E" w:rsidRDefault="0032648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C48DA"/>
    <w:multiLevelType w:val="hybridMultilevel"/>
    <w:tmpl w:val="89D05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4C450C"/>
    <w:multiLevelType w:val="hybridMultilevel"/>
    <w:tmpl w:val="1BCA541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15:restartNumberingAfterBreak="0">
    <w:nsid w:val="17861DE0"/>
    <w:multiLevelType w:val="hybridMultilevel"/>
    <w:tmpl w:val="9FFC0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3B4E08"/>
    <w:multiLevelType w:val="hybridMultilevel"/>
    <w:tmpl w:val="991665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D77048A"/>
    <w:multiLevelType w:val="hybridMultilevel"/>
    <w:tmpl w:val="3558F4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6D13F5"/>
    <w:multiLevelType w:val="multilevel"/>
    <w:tmpl w:val="DFA2D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2030AB5"/>
    <w:multiLevelType w:val="hybridMultilevel"/>
    <w:tmpl w:val="826E1B34"/>
    <w:lvl w:ilvl="0" w:tplc="377CECA6">
      <w:start w:val="165"/>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0F1CE9"/>
    <w:multiLevelType w:val="hybridMultilevel"/>
    <w:tmpl w:val="98A0DDD2"/>
    <w:lvl w:ilvl="0" w:tplc="6396F41A">
      <w:start w:val="1"/>
      <w:numFmt w:val="bullet"/>
      <w:lvlText w:val="–"/>
      <w:lvlJc w:val="left"/>
      <w:pPr>
        <w:tabs>
          <w:tab w:val="num" w:pos="720"/>
        </w:tabs>
        <w:ind w:left="720" w:hanging="360"/>
      </w:pPr>
      <w:rPr>
        <w:rFonts w:ascii="Arial" w:hAnsi="Arial" w:hint="default"/>
      </w:rPr>
    </w:lvl>
    <w:lvl w:ilvl="1" w:tplc="4296F6C2">
      <w:start w:val="1"/>
      <w:numFmt w:val="bullet"/>
      <w:lvlText w:val="–"/>
      <w:lvlJc w:val="left"/>
      <w:pPr>
        <w:tabs>
          <w:tab w:val="num" w:pos="1440"/>
        </w:tabs>
        <w:ind w:left="1440" w:hanging="360"/>
      </w:pPr>
      <w:rPr>
        <w:rFonts w:ascii="Arial" w:hAnsi="Arial" w:hint="default"/>
      </w:rPr>
    </w:lvl>
    <w:lvl w:ilvl="2" w:tplc="12689F70" w:tentative="1">
      <w:start w:val="1"/>
      <w:numFmt w:val="bullet"/>
      <w:lvlText w:val="–"/>
      <w:lvlJc w:val="left"/>
      <w:pPr>
        <w:tabs>
          <w:tab w:val="num" w:pos="2160"/>
        </w:tabs>
        <w:ind w:left="2160" w:hanging="360"/>
      </w:pPr>
      <w:rPr>
        <w:rFonts w:ascii="Arial" w:hAnsi="Arial" w:hint="default"/>
      </w:rPr>
    </w:lvl>
    <w:lvl w:ilvl="3" w:tplc="068EEA96" w:tentative="1">
      <w:start w:val="1"/>
      <w:numFmt w:val="bullet"/>
      <w:lvlText w:val="–"/>
      <w:lvlJc w:val="left"/>
      <w:pPr>
        <w:tabs>
          <w:tab w:val="num" w:pos="2880"/>
        </w:tabs>
        <w:ind w:left="2880" w:hanging="360"/>
      </w:pPr>
      <w:rPr>
        <w:rFonts w:ascii="Arial" w:hAnsi="Arial" w:hint="default"/>
      </w:rPr>
    </w:lvl>
    <w:lvl w:ilvl="4" w:tplc="2E444A42" w:tentative="1">
      <w:start w:val="1"/>
      <w:numFmt w:val="bullet"/>
      <w:lvlText w:val="–"/>
      <w:lvlJc w:val="left"/>
      <w:pPr>
        <w:tabs>
          <w:tab w:val="num" w:pos="3600"/>
        </w:tabs>
        <w:ind w:left="3600" w:hanging="360"/>
      </w:pPr>
      <w:rPr>
        <w:rFonts w:ascii="Arial" w:hAnsi="Arial" w:hint="default"/>
      </w:rPr>
    </w:lvl>
    <w:lvl w:ilvl="5" w:tplc="263E8DCE" w:tentative="1">
      <w:start w:val="1"/>
      <w:numFmt w:val="bullet"/>
      <w:lvlText w:val="–"/>
      <w:lvlJc w:val="left"/>
      <w:pPr>
        <w:tabs>
          <w:tab w:val="num" w:pos="4320"/>
        </w:tabs>
        <w:ind w:left="4320" w:hanging="360"/>
      </w:pPr>
      <w:rPr>
        <w:rFonts w:ascii="Arial" w:hAnsi="Arial" w:hint="default"/>
      </w:rPr>
    </w:lvl>
    <w:lvl w:ilvl="6" w:tplc="7D7C8DD6" w:tentative="1">
      <w:start w:val="1"/>
      <w:numFmt w:val="bullet"/>
      <w:lvlText w:val="–"/>
      <w:lvlJc w:val="left"/>
      <w:pPr>
        <w:tabs>
          <w:tab w:val="num" w:pos="5040"/>
        </w:tabs>
        <w:ind w:left="5040" w:hanging="360"/>
      </w:pPr>
      <w:rPr>
        <w:rFonts w:ascii="Arial" w:hAnsi="Arial" w:hint="default"/>
      </w:rPr>
    </w:lvl>
    <w:lvl w:ilvl="7" w:tplc="AC048270" w:tentative="1">
      <w:start w:val="1"/>
      <w:numFmt w:val="bullet"/>
      <w:lvlText w:val="–"/>
      <w:lvlJc w:val="left"/>
      <w:pPr>
        <w:tabs>
          <w:tab w:val="num" w:pos="5760"/>
        </w:tabs>
        <w:ind w:left="5760" w:hanging="360"/>
      </w:pPr>
      <w:rPr>
        <w:rFonts w:ascii="Arial" w:hAnsi="Arial" w:hint="default"/>
      </w:rPr>
    </w:lvl>
    <w:lvl w:ilvl="8" w:tplc="6AE41264"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82B3451"/>
    <w:multiLevelType w:val="hybridMultilevel"/>
    <w:tmpl w:val="70504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0013C7"/>
    <w:multiLevelType w:val="hybridMultilevel"/>
    <w:tmpl w:val="8EEC7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392C7B"/>
    <w:multiLevelType w:val="hybridMultilevel"/>
    <w:tmpl w:val="380C764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4846CA2"/>
    <w:multiLevelType w:val="hybridMultilevel"/>
    <w:tmpl w:val="9C4EE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441CA4"/>
    <w:multiLevelType w:val="hybridMultilevel"/>
    <w:tmpl w:val="ECCE3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D65711"/>
    <w:multiLevelType w:val="hybridMultilevel"/>
    <w:tmpl w:val="FC2A8DD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ACB3765"/>
    <w:multiLevelType w:val="hybridMultilevel"/>
    <w:tmpl w:val="C394B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6C5A0E"/>
    <w:multiLevelType w:val="hybridMultilevel"/>
    <w:tmpl w:val="1C0EBC1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072164"/>
    <w:multiLevelType w:val="multilevel"/>
    <w:tmpl w:val="41943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A97578F"/>
    <w:multiLevelType w:val="hybridMultilevel"/>
    <w:tmpl w:val="8DF8FEC2"/>
    <w:lvl w:ilvl="0" w:tplc="0409000B">
      <w:start w:val="1"/>
      <w:numFmt w:val="bullet"/>
      <w:lvlText w:val=""/>
      <w:lvlJc w:val="left"/>
      <w:pPr>
        <w:ind w:left="1420" w:hanging="360"/>
      </w:pPr>
      <w:rPr>
        <w:rFonts w:ascii="Wingdings" w:hAnsi="Wingdings" w:hint="default"/>
      </w:rPr>
    </w:lvl>
    <w:lvl w:ilvl="1" w:tplc="04090003" w:tentative="1">
      <w:start w:val="1"/>
      <w:numFmt w:val="bullet"/>
      <w:lvlText w:val="o"/>
      <w:lvlJc w:val="left"/>
      <w:pPr>
        <w:ind w:left="2140" w:hanging="360"/>
      </w:pPr>
      <w:rPr>
        <w:rFonts w:ascii="Courier New" w:hAnsi="Courier New" w:cs="Courier New" w:hint="default"/>
      </w:rPr>
    </w:lvl>
    <w:lvl w:ilvl="2" w:tplc="04090005" w:tentative="1">
      <w:start w:val="1"/>
      <w:numFmt w:val="bullet"/>
      <w:lvlText w:val=""/>
      <w:lvlJc w:val="left"/>
      <w:pPr>
        <w:ind w:left="2860" w:hanging="360"/>
      </w:pPr>
      <w:rPr>
        <w:rFonts w:ascii="Wingdings" w:hAnsi="Wingdings" w:hint="default"/>
      </w:rPr>
    </w:lvl>
    <w:lvl w:ilvl="3" w:tplc="04090001" w:tentative="1">
      <w:start w:val="1"/>
      <w:numFmt w:val="bullet"/>
      <w:lvlText w:val=""/>
      <w:lvlJc w:val="left"/>
      <w:pPr>
        <w:ind w:left="3580" w:hanging="360"/>
      </w:pPr>
      <w:rPr>
        <w:rFonts w:ascii="Symbol" w:hAnsi="Symbol" w:hint="default"/>
      </w:rPr>
    </w:lvl>
    <w:lvl w:ilvl="4" w:tplc="04090003" w:tentative="1">
      <w:start w:val="1"/>
      <w:numFmt w:val="bullet"/>
      <w:lvlText w:val="o"/>
      <w:lvlJc w:val="left"/>
      <w:pPr>
        <w:ind w:left="4300" w:hanging="360"/>
      </w:pPr>
      <w:rPr>
        <w:rFonts w:ascii="Courier New" w:hAnsi="Courier New" w:cs="Courier New" w:hint="default"/>
      </w:rPr>
    </w:lvl>
    <w:lvl w:ilvl="5" w:tplc="04090005" w:tentative="1">
      <w:start w:val="1"/>
      <w:numFmt w:val="bullet"/>
      <w:lvlText w:val=""/>
      <w:lvlJc w:val="left"/>
      <w:pPr>
        <w:ind w:left="5020" w:hanging="360"/>
      </w:pPr>
      <w:rPr>
        <w:rFonts w:ascii="Wingdings" w:hAnsi="Wingdings" w:hint="default"/>
      </w:rPr>
    </w:lvl>
    <w:lvl w:ilvl="6" w:tplc="04090001" w:tentative="1">
      <w:start w:val="1"/>
      <w:numFmt w:val="bullet"/>
      <w:lvlText w:val=""/>
      <w:lvlJc w:val="left"/>
      <w:pPr>
        <w:ind w:left="5740" w:hanging="360"/>
      </w:pPr>
      <w:rPr>
        <w:rFonts w:ascii="Symbol" w:hAnsi="Symbol" w:hint="default"/>
      </w:rPr>
    </w:lvl>
    <w:lvl w:ilvl="7" w:tplc="04090003" w:tentative="1">
      <w:start w:val="1"/>
      <w:numFmt w:val="bullet"/>
      <w:lvlText w:val="o"/>
      <w:lvlJc w:val="left"/>
      <w:pPr>
        <w:ind w:left="6460" w:hanging="360"/>
      </w:pPr>
      <w:rPr>
        <w:rFonts w:ascii="Courier New" w:hAnsi="Courier New" w:cs="Courier New" w:hint="default"/>
      </w:rPr>
    </w:lvl>
    <w:lvl w:ilvl="8" w:tplc="04090005" w:tentative="1">
      <w:start w:val="1"/>
      <w:numFmt w:val="bullet"/>
      <w:lvlText w:val=""/>
      <w:lvlJc w:val="left"/>
      <w:pPr>
        <w:ind w:left="7180" w:hanging="360"/>
      </w:pPr>
      <w:rPr>
        <w:rFonts w:ascii="Wingdings" w:hAnsi="Wingdings" w:hint="default"/>
      </w:rPr>
    </w:lvl>
  </w:abstractNum>
  <w:abstractNum w:abstractNumId="18" w15:restartNumberingAfterBreak="0">
    <w:nsid w:val="54E773B0"/>
    <w:multiLevelType w:val="singleLevel"/>
    <w:tmpl w:val="09B0E930"/>
    <w:lvl w:ilvl="0">
      <w:start w:val="1"/>
      <w:numFmt w:val="upperLetter"/>
      <w:lvlText w:val="%1."/>
      <w:lvlJc w:val="left"/>
      <w:pPr>
        <w:tabs>
          <w:tab w:val="num" w:pos="360"/>
        </w:tabs>
        <w:ind w:left="360" w:hanging="360"/>
      </w:pPr>
      <w:rPr>
        <w:rFonts w:ascii="Times New Roman" w:hAnsi="Times New Roman" w:hint="default"/>
        <w:b w:val="0"/>
        <w:i w:val="0"/>
        <w:caps w:val="0"/>
        <w:strike w:val="0"/>
        <w:dstrike w:val="0"/>
        <w:outline w:val="0"/>
        <w:shadow w:val="0"/>
        <w:emboss w:val="0"/>
        <w:imprint w:val="0"/>
        <w:vanish w:val="0"/>
        <w:vertAlign w:val="baseline"/>
      </w:rPr>
    </w:lvl>
  </w:abstractNum>
  <w:abstractNum w:abstractNumId="19" w15:restartNumberingAfterBreak="0">
    <w:nsid w:val="57076006"/>
    <w:multiLevelType w:val="hybridMultilevel"/>
    <w:tmpl w:val="F6CED27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B3C6223"/>
    <w:multiLevelType w:val="hybridMultilevel"/>
    <w:tmpl w:val="7D0245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9035D3C"/>
    <w:multiLevelType w:val="hybridMultilevel"/>
    <w:tmpl w:val="4CAE2532"/>
    <w:lvl w:ilvl="0" w:tplc="1DEC3316">
      <w:start w:val="1"/>
      <w:numFmt w:val="upp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1"/>
  </w:num>
  <w:num w:numId="2">
    <w:abstractNumId w:val="9"/>
  </w:num>
  <w:num w:numId="3">
    <w:abstractNumId w:val="2"/>
  </w:num>
  <w:num w:numId="4">
    <w:abstractNumId w:val="17"/>
  </w:num>
  <w:num w:numId="5">
    <w:abstractNumId w:val="6"/>
  </w:num>
  <w:num w:numId="6">
    <w:abstractNumId w:val="5"/>
  </w:num>
  <w:num w:numId="7">
    <w:abstractNumId w:val="16"/>
  </w:num>
  <w:num w:numId="8">
    <w:abstractNumId w:val="12"/>
  </w:num>
  <w:num w:numId="9">
    <w:abstractNumId w:val="21"/>
  </w:num>
  <w:num w:numId="10">
    <w:abstractNumId w:val="20"/>
  </w:num>
  <w:num w:numId="11">
    <w:abstractNumId w:val="15"/>
  </w:num>
  <w:num w:numId="12">
    <w:abstractNumId w:val="10"/>
  </w:num>
  <w:num w:numId="13">
    <w:abstractNumId w:val="18"/>
  </w:num>
  <w:num w:numId="14">
    <w:abstractNumId w:val="14"/>
  </w:num>
  <w:num w:numId="15">
    <w:abstractNumId w:val="0"/>
  </w:num>
  <w:num w:numId="16">
    <w:abstractNumId w:val="19"/>
  </w:num>
  <w:num w:numId="17">
    <w:abstractNumId w:val="11"/>
  </w:num>
  <w:num w:numId="18">
    <w:abstractNumId w:val="3"/>
  </w:num>
  <w:num w:numId="19">
    <w:abstractNumId w:val="8"/>
  </w:num>
  <w:num w:numId="20">
    <w:abstractNumId w:val="13"/>
  </w:num>
  <w:num w:numId="21">
    <w:abstractNumId w:val="7"/>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2"/>
  </w:compat>
  <w:rsids>
    <w:rsidRoot w:val="006F1F90"/>
    <w:rsid w:val="0000522C"/>
    <w:rsid w:val="00005491"/>
    <w:rsid w:val="000114C4"/>
    <w:rsid w:val="000125DC"/>
    <w:rsid w:val="00017343"/>
    <w:rsid w:val="000272AB"/>
    <w:rsid w:val="00041DC1"/>
    <w:rsid w:val="000433FA"/>
    <w:rsid w:val="00046EFC"/>
    <w:rsid w:val="00057FBA"/>
    <w:rsid w:val="0006679B"/>
    <w:rsid w:val="00074F2F"/>
    <w:rsid w:val="0007738E"/>
    <w:rsid w:val="00077FBE"/>
    <w:rsid w:val="000825A4"/>
    <w:rsid w:val="00084585"/>
    <w:rsid w:val="000A0450"/>
    <w:rsid w:val="000A099C"/>
    <w:rsid w:val="000A258B"/>
    <w:rsid w:val="000B371C"/>
    <w:rsid w:val="000B76A0"/>
    <w:rsid w:val="000C2B35"/>
    <w:rsid w:val="000C438C"/>
    <w:rsid w:val="000D7950"/>
    <w:rsid w:val="000E2B4A"/>
    <w:rsid w:val="000E2DDE"/>
    <w:rsid w:val="000E4FC6"/>
    <w:rsid w:val="000E6AC0"/>
    <w:rsid w:val="000E7D7D"/>
    <w:rsid w:val="000F39B6"/>
    <w:rsid w:val="000F4647"/>
    <w:rsid w:val="000F78F1"/>
    <w:rsid w:val="00102E3C"/>
    <w:rsid w:val="001113B3"/>
    <w:rsid w:val="00116F94"/>
    <w:rsid w:val="001213E2"/>
    <w:rsid w:val="00134FD8"/>
    <w:rsid w:val="00136FBC"/>
    <w:rsid w:val="001549F8"/>
    <w:rsid w:val="00160556"/>
    <w:rsid w:val="00162F13"/>
    <w:rsid w:val="00165CE5"/>
    <w:rsid w:val="00167D92"/>
    <w:rsid w:val="001939E2"/>
    <w:rsid w:val="001B1972"/>
    <w:rsid w:val="001B3822"/>
    <w:rsid w:val="001B6AA3"/>
    <w:rsid w:val="001B7DCC"/>
    <w:rsid w:val="001C54F5"/>
    <w:rsid w:val="001C56D4"/>
    <w:rsid w:val="001C6DE4"/>
    <w:rsid w:val="001E40B4"/>
    <w:rsid w:val="001F2AC7"/>
    <w:rsid w:val="00205196"/>
    <w:rsid w:val="002114A4"/>
    <w:rsid w:val="002118F7"/>
    <w:rsid w:val="00222865"/>
    <w:rsid w:val="002253FF"/>
    <w:rsid w:val="00273D08"/>
    <w:rsid w:val="00276156"/>
    <w:rsid w:val="00292FF4"/>
    <w:rsid w:val="0029515E"/>
    <w:rsid w:val="002B0EB2"/>
    <w:rsid w:val="002B3AB3"/>
    <w:rsid w:val="002B4FEA"/>
    <w:rsid w:val="002C354D"/>
    <w:rsid w:val="002D5E7C"/>
    <w:rsid w:val="002E0E3B"/>
    <w:rsid w:val="002F429B"/>
    <w:rsid w:val="00316A9A"/>
    <w:rsid w:val="00322363"/>
    <w:rsid w:val="00323997"/>
    <w:rsid w:val="0032648E"/>
    <w:rsid w:val="0034180C"/>
    <w:rsid w:val="00347DBC"/>
    <w:rsid w:val="003734D7"/>
    <w:rsid w:val="00376461"/>
    <w:rsid w:val="003904B7"/>
    <w:rsid w:val="00390F2A"/>
    <w:rsid w:val="00396B5F"/>
    <w:rsid w:val="003A4C0C"/>
    <w:rsid w:val="003A722E"/>
    <w:rsid w:val="003B0E9D"/>
    <w:rsid w:val="003C20B6"/>
    <w:rsid w:val="003C25F0"/>
    <w:rsid w:val="003D1A30"/>
    <w:rsid w:val="003D4D4D"/>
    <w:rsid w:val="003D5E39"/>
    <w:rsid w:val="004041A8"/>
    <w:rsid w:val="00412747"/>
    <w:rsid w:val="00425299"/>
    <w:rsid w:val="004375AB"/>
    <w:rsid w:val="00441693"/>
    <w:rsid w:val="004545A0"/>
    <w:rsid w:val="00462AFA"/>
    <w:rsid w:val="00463A36"/>
    <w:rsid w:val="00466CCD"/>
    <w:rsid w:val="0047092D"/>
    <w:rsid w:val="004769A7"/>
    <w:rsid w:val="004852D0"/>
    <w:rsid w:val="004C7162"/>
    <w:rsid w:val="004D7C81"/>
    <w:rsid w:val="004E714E"/>
    <w:rsid w:val="004E7514"/>
    <w:rsid w:val="005005CD"/>
    <w:rsid w:val="005110FC"/>
    <w:rsid w:val="00511EF7"/>
    <w:rsid w:val="005257E9"/>
    <w:rsid w:val="00535A5A"/>
    <w:rsid w:val="00537931"/>
    <w:rsid w:val="00544222"/>
    <w:rsid w:val="005575F9"/>
    <w:rsid w:val="00561E51"/>
    <w:rsid w:val="00571383"/>
    <w:rsid w:val="00575518"/>
    <w:rsid w:val="00575BB8"/>
    <w:rsid w:val="0058136F"/>
    <w:rsid w:val="005A149F"/>
    <w:rsid w:val="005B7AB1"/>
    <w:rsid w:val="005C293A"/>
    <w:rsid w:val="005C4E35"/>
    <w:rsid w:val="005F756B"/>
    <w:rsid w:val="005F786E"/>
    <w:rsid w:val="0060641E"/>
    <w:rsid w:val="00607699"/>
    <w:rsid w:val="00630807"/>
    <w:rsid w:val="006376E7"/>
    <w:rsid w:val="00637E95"/>
    <w:rsid w:val="00652969"/>
    <w:rsid w:val="00671E60"/>
    <w:rsid w:val="00673686"/>
    <w:rsid w:val="006755B5"/>
    <w:rsid w:val="006813C4"/>
    <w:rsid w:val="006815FB"/>
    <w:rsid w:val="0069323E"/>
    <w:rsid w:val="006A156D"/>
    <w:rsid w:val="006A782B"/>
    <w:rsid w:val="006B6296"/>
    <w:rsid w:val="006C41A8"/>
    <w:rsid w:val="006E58E1"/>
    <w:rsid w:val="006F1F90"/>
    <w:rsid w:val="006F2E2D"/>
    <w:rsid w:val="006F47D3"/>
    <w:rsid w:val="006F67CC"/>
    <w:rsid w:val="006F6EBB"/>
    <w:rsid w:val="00711417"/>
    <w:rsid w:val="00712FCA"/>
    <w:rsid w:val="00720186"/>
    <w:rsid w:val="007401F9"/>
    <w:rsid w:val="00752480"/>
    <w:rsid w:val="00757F6B"/>
    <w:rsid w:val="007737B3"/>
    <w:rsid w:val="00774040"/>
    <w:rsid w:val="00775B63"/>
    <w:rsid w:val="00781040"/>
    <w:rsid w:val="00781DF6"/>
    <w:rsid w:val="007828B6"/>
    <w:rsid w:val="007830FD"/>
    <w:rsid w:val="00783578"/>
    <w:rsid w:val="00790D58"/>
    <w:rsid w:val="007938BE"/>
    <w:rsid w:val="007A2304"/>
    <w:rsid w:val="007A39DB"/>
    <w:rsid w:val="007B4DC7"/>
    <w:rsid w:val="007B7342"/>
    <w:rsid w:val="007C0695"/>
    <w:rsid w:val="007D3F22"/>
    <w:rsid w:val="007F0F95"/>
    <w:rsid w:val="00800689"/>
    <w:rsid w:val="00812228"/>
    <w:rsid w:val="00812754"/>
    <w:rsid w:val="0082493C"/>
    <w:rsid w:val="00836E63"/>
    <w:rsid w:val="00842A8F"/>
    <w:rsid w:val="00842DEA"/>
    <w:rsid w:val="0084362E"/>
    <w:rsid w:val="00853272"/>
    <w:rsid w:val="00855FFF"/>
    <w:rsid w:val="00856A43"/>
    <w:rsid w:val="00860147"/>
    <w:rsid w:val="00861324"/>
    <w:rsid w:val="00861901"/>
    <w:rsid w:val="008633AA"/>
    <w:rsid w:val="0086361A"/>
    <w:rsid w:val="00876970"/>
    <w:rsid w:val="00880E69"/>
    <w:rsid w:val="00884012"/>
    <w:rsid w:val="008913F1"/>
    <w:rsid w:val="008A3B16"/>
    <w:rsid w:val="008C4395"/>
    <w:rsid w:val="008D3EFE"/>
    <w:rsid w:val="008F12C1"/>
    <w:rsid w:val="008F53B8"/>
    <w:rsid w:val="00902913"/>
    <w:rsid w:val="009062ED"/>
    <w:rsid w:val="009135AC"/>
    <w:rsid w:val="00913D4C"/>
    <w:rsid w:val="00936DE8"/>
    <w:rsid w:val="009421B9"/>
    <w:rsid w:val="00946CA3"/>
    <w:rsid w:val="00946D10"/>
    <w:rsid w:val="00953387"/>
    <w:rsid w:val="009547BF"/>
    <w:rsid w:val="00955198"/>
    <w:rsid w:val="00966757"/>
    <w:rsid w:val="0097710B"/>
    <w:rsid w:val="009904CE"/>
    <w:rsid w:val="00994063"/>
    <w:rsid w:val="009973D1"/>
    <w:rsid w:val="00997FDC"/>
    <w:rsid w:val="009B4CAF"/>
    <w:rsid w:val="009C133B"/>
    <w:rsid w:val="009C5437"/>
    <w:rsid w:val="009C5D13"/>
    <w:rsid w:val="009C68BF"/>
    <w:rsid w:val="009E0CB7"/>
    <w:rsid w:val="009F549B"/>
    <w:rsid w:val="009F63E9"/>
    <w:rsid w:val="00A170AF"/>
    <w:rsid w:val="00A260CA"/>
    <w:rsid w:val="00A31ABC"/>
    <w:rsid w:val="00A376C6"/>
    <w:rsid w:val="00A463AD"/>
    <w:rsid w:val="00A5418B"/>
    <w:rsid w:val="00A55D70"/>
    <w:rsid w:val="00A62DB8"/>
    <w:rsid w:val="00A757C6"/>
    <w:rsid w:val="00A84E3F"/>
    <w:rsid w:val="00A90CA4"/>
    <w:rsid w:val="00A921AF"/>
    <w:rsid w:val="00AA3756"/>
    <w:rsid w:val="00AA585F"/>
    <w:rsid w:val="00AA777C"/>
    <w:rsid w:val="00AB075C"/>
    <w:rsid w:val="00AB6ACD"/>
    <w:rsid w:val="00AC27AE"/>
    <w:rsid w:val="00AF1C85"/>
    <w:rsid w:val="00AF642F"/>
    <w:rsid w:val="00B01C0C"/>
    <w:rsid w:val="00B058AA"/>
    <w:rsid w:val="00B06C75"/>
    <w:rsid w:val="00B07F6E"/>
    <w:rsid w:val="00B167CD"/>
    <w:rsid w:val="00B17B13"/>
    <w:rsid w:val="00B17DB2"/>
    <w:rsid w:val="00B428C3"/>
    <w:rsid w:val="00B43293"/>
    <w:rsid w:val="00B505C9"/>
    <w:rsid w:val="00B76D42"/>
    <w:rsid w:val="00B916CD"/>
    <w:rsid w:val="00BA3FB7"/>
    <w:rsid w:val="00BB473A"/>
    <w:rsid w:val="00BC2E38"/>
    <w:rsid w:val="00BC388E"/>
    <w:rsid w:val="00BC77B9"/>
    <w:rsid w:val="00BD0FF9"/>
    <w:rsid w:val="00BD4C94"/>
    <w:rsid w:val="00BE1147"/>
    <w:rsid w:val="00BE16EC"/>
    <w:rsid w:val="00BE200B"/>
    <w:rsid w:val="00BE3C7A"/>
    <w:rsid w:val="00BE6A55"/>
    <w:rsid w:val="00BF6C96"/>
    <w:rsid w:val="00C06D89"/>
    <w:rsid w:val="00C21EC0"/>
    <w:rsid w:val="00C2333C"/>
    <w:rsid w:val="00C2576F"/>
    <w:rsid w:val="00C278ED"/>
    <w:rsid w:val="00C31D70"/>
    <w:rsid w:val="00C419C2"/>
    <w:rsid w:val="00C436B4"/>
    <w:rsid w:val="00C54FCD"/>
    <w:rsid w:val="00C55D28"/>
    <w:rsid w:val="00C63689"/>
    <w:rsid w:val="00C64216"/>
    <w:rsid w:val="00C722DA"/>
    <w:rsid w:val="00C72B10"/>
    <w:rsid w:val="00C910D2"/>
    <w:rsid w:val="00C91AD6"/>
    <w:rsid w:val="00C92AEC"/>
    <w:rsid w:val="00CA3B99"/>
    <w:rsid w:val="00CA403D"/>
    <w:rsid w:val="00CB43A2"/>
    <w:rsid w:val="00CC0F83"/>
    <w:rsid w:val="00CC58E8"/>
    <w:rsid w:val="00CD3033"/>
    <w:rsid w:val="00CF391F"/>
    <w:rsid w:val="00D06AFA"/>
    <w:rsid w:val="00D12AB0"/>
    <w:rsid w:val="00D15E1A"/>
    <w:rsid w:val="00D2700D"/>
    <w:rsid w:val="00D27CEA"/>
    <w:rsid w:val="00D32EBC"/>
    <w:rsid w:val="00D41F3E"/>
    <w:rsid w:val="00D4769E"/>
    <w:rsid w:val="00D803C9"/>
    <w:rsid w:val="00D907F9"/>
    <w:rsid w:val="00DA4874"/>
    <w:rsid w:val="00DA4E9E"/>
    <w:rsid w:val="00DA6B74"/>
    <w:rsid w:val="00DB253A"/>
    <w:rsid w:val="00DB38FD"/>
    <w:rsid w:val="00DB69A1"/>
    <w:rsid w:val="00DC26E6"/>
    <w:rsid w:val="00DC4897"/>
    <w:rsid w:val="00DC54DB"/>
    <w:rsid w:val="00DE47D2"/>
    <w:rsid w:val="00DE60CC"/>
    <w:rsid w:val="00DF6448"/>
    <w:rsid w:val="00DF737F"/>
    <w:rsid w:val="00E0115F"/>
    <w:rsid w:val="00E07C8A"/>
    <w:rsid w:val="00E15F01"/>
    <w:rsid w:val="00E22825"/>
    <w:rsid w:val="00E45B8E"/>
    <w:rsid w:val="00E46E70"/>
    <w:rsid w:val="00E52AF3"/>
    <w:rsid w:val="00E56AC9"/>
    <w:rsid w:val="00E5759A"/>
    <w:rsid w:val="00E63A7A"/>
    <w:rsid w:val="00E7167E"/>
    <w:rsid w:val="00E74DF2"/>
    <w:rsid w:val="00E834AE"/>
    <w:rsid w:val="00EA333E"/>
    <w:rsid w:val="00EB0810"/>
    <w:rsid w:val="00EB3F10"/>
    <w:rsid w:val="00ED31A3"/>
    <w:rsid w:val="00EE2EE3"/>
    <w:rsid w:val="00EF6CA5"/>
    <w:rsid w:val="00F0057C"/>
    <w:rsid w:val="00F12F25"/>
    <w:rsid w:val="00F17C2A"/>
    <w:rsid w:val="00F20910"/>
    <w:rsid w:val="00F25C5D"/>
    <w:rsid w:val="00F26147"/>
    <w:rsid w:val="00F37ED4"/>
    <w:rsid w:val="00F42748"/>
    <w:rsid w:val="00F442A6"/>
    <w:rsid w:val="00F44644"/>
    <w:rsid w:val="00F47662"/>
    <w:rsid w:val="00F54809"/>
    <w:rsid w:val="00F66B20"/>
    <w:rsid w:val="00F66D10"/>
    <w:rsid w:val="00FA2DA9"/>
    <w:rsid w:val="00FC0179"/>
    <w:rsid w:val="00FC47ED"/>
    <w:rsid w:val="00FF41C3"/>
    <w:rsid w:val="00FF5F4D"/>
    <w:rsid w:val="00FF7F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327D043D"/>
  <w15:docId w15:val="{FE617981-E95A-4110-800B-8878EB6A6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7DB2"/>
    <w:rPr>
      <w:sz w:val="24"/>
      <w:szCs w:val="24"/>
    </w:rPr>
  </w:style>
  <w:style w:type="paragraph" w:styleId="Heading7">
    <w:name w:val="heading 7"/>
    <w:basedOn w:val="Normal"/>
    <w:next w:val="Normal"/>
    <w:link w:val="Heading7Char"/>
    <w:qFormat/>
    <w:rsid w:val="007F0F95"/>
    <w:pPr>
      <w:keepNext/>
      <w:ind w:firstLine="360"/>
      <w:outlineLvl w:val="6"/>
    </w:pPr>
    <w:rPr>
      <w:szCs w:val="20"/>
    </w:rPr>
  </w:style>
  <w:style w:type="paragraph" w:styleId="Heading8">
    <w:name w:val="heading 8"/>
    <w:basedOn w:val="Normal"/>
    <w:next w:val="Normal"/>
    <w:link w:val="Heading8Char"/>
    <w:uiPriority w:val="9"/>
    <w:semiHidden/>
    <w:unhideWhenUsed/>
    <w:qFormat/>
    <w:rsid w:val="008633AA"/>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1F90"/>
    <w:pPr>
      <w:ind w:left="720"/>
      <w:contextualSpacing/>
    </w:pPr>
  </w:style>
  <w:style w:type="paragraph" w:styleId="Header">
    <w:name w:val="header"/>
    <w:basedOn w:val="Normal"/>
    <w:link w:val="HeaderChar"/>
    <w:uiPriority w:val="99"/>
    <w:unhideWhenUsed/>
    <w:rsid w:val="00712FCA"/>
    <w:pPr>
      <w:tabs>
        <w:tab w:val="center" w:pos="4680"/>
        <w:tab w:val="right" w:pos="9360"/>
      </w:tabs>
    </w:pPr>
  </w:style>
  <w:style w:type="character" w:customStyle="1" w:styleId="HeaderChar">
    <w:name w:val="Header Char"/>
    <w:link w:val="Header"/>
    <w:uiPriority w:val="99"/>
    <w:rsid w:val="00712FCA"/>
    <w:rPr>
      <w:sz w:val="24"/>
      <w:szCs w:val="24"/>
    </w:rPr>
  </w:style>
  <w:style w:type="paragraph" w:styleId="Footer">
    <w:name w:val="footer"/>
    <w:basedOn w:val="Normal"/>
    <w:link w:val="FooterChar"/>
    <w:uiPriority w:val="99"/>
    <w:unhideWhenUsed/>
    <w:rsid w:val="00712FCA"/>
    <w:pPr>
      <w:tabs>
        <w:tab w:val="center" w:pos="4680"/>
        <w:tab w:val="right" w:pos="9360"/>
      </w:tabs>
    </w:pPr>
  </w:style>
  <w:style w:type="character" w:customStyle="1" w:styleId="FooterChar">
    <w:name w:val="Footer Char"/>
    <w:link w:val="Footer"/>
    <w:uiPriority w:val="99"/>
    <w:rsid w:val="00712FCA"/>
    <w:rPr>
      <w:sz w:val="24"/>
      <w:szCs w:val="24"/>
    </w:rPr>
  </w:style>
  <w:style w:type="character" w:styleId="Hyperlink">
    <w:name w:val="Hyperlink"/>
    <w:uiPriority w:val="99"/>
    <w:unhideWhenUsed/>
    <w:rsid w:val="00AF642F"/>
    <w:rPr>
      <w:color w:val="0000FF"/>
      <w:u w:val="single"/>
    </w:rPr>
  </w:style>
  <w:style w:type="paragraph" w:styleId="BalloonText">
    <w:name w:val="Balloon Text"/>
    <w:basedOn w:val="Normal"/>
    <w:link w:val="BalloonTextChar"/>
    <w:uiPriority w:val="99"/>
    <w:semiHidden/>
    <w:unhideWhenUsed/>
    <w:rsid w:val="00005491"/>
    <w:rPr>
      <w:rFonts w:ascii="Tahoma" w:hAnsi="Tahoma" w:cs="Tahoma"/>
      <w:sz w:val="16"/>
      <w:szCs w:val="16"/>
    </w:rPr>
  </w:style>
  <w:style w:type="character" w:customStyle="1" w:styleId="BalloonTextChar">
    <w:name w:val="Balloon Text Char"/>
    <w:basedOn w:val="DefaultParagraphFont"/>
    <w:link w:val="BalloonText"/>
    <w:uiPriority w:val="99"/>
    <w:semiHidden/>
    <w:rsid w:val="00005491"/>
    <w:rPr>
      <w:rFonts w:ascii="Tahoma" w:hAnsi="Tahoma" w:cs="Tahoma"/>
      <w:sz w:val="16"/>
      <w:szCs w:val="16"/>
    </w:rPr>
  </w:style>
  <w:style w:type="paragraph" w:styleId="NormalWeb">
    <w:name w:val="Normal (Web)"/>
    <w:basedOn w:val="Normal"/>
    <w:uiPriority w:val="99"/>
    <w:semiHidden/>
    <w:unhideWhenUsed/>
    <w:rsid w:val="00160556"/>
    <w:pPr>
      <w:spacing w:before="100" w:beforeAutospacing="1" w:after="100" w:afterAutospacing="1"/>
    </w:pPr>
  </w:style>
  <w:style w:type="character" w:styleId="Strong">
    <w:name w:val="Strong"/>
    <w:basedOn w:val="DefaultParagraphFont"/>
    <w:uiPriority w:val="22"/>
    <w:qFormat/>
    <w:rsid w:val="00160556"/>
    <w:rPr>
      <w:b/>
      <w:bCs/>
    </w:rPr>
  </w:style>
  <w:style w:type="character" w:customStyle="1" w:styleId="Heading7Char">
    <w:name w:val="Heading 7 Char"/>
    <w:basedOn w:val="DefaultParagraphFont"/>
    <w:link w:val="Heading7"/>
    <w:rsid w:val="007F0F95"/>
    <w:rPr>
      <w:sz w:val="24"/>
    </w:rPr>
  </w:style>
  <w:style w:type="character" w:customStyle="1" w:styleId="Heading8Char">
    <w:name w:val="Heading 8 Char"/>
    <w:basedOn w:val="DefaultParagraphFont"/>
    <w:link w:val="Heading8"/>
    <w:uiPriority w:val="9"/>
    <w:semiHidden/>
    <w:rsid w:val="008633AA"/>
    <w:rPr>
      <w:rFonts w:asciiTheme="majorHAnsi" w:eastAsiaTheme="majorEastAsia" w:hAnsiTheme="majorHAnsi" w:cstheme="majorBidi"/>
      <w:color w:val="404040" w:themeColor="text1" w:themeTint="BF"/>
    </w:rPr>
  </w:style>
  <w:style w:type="paragraph" w:styleId="FootnoteText">
    <w:name w:val="footnote text"/>
    <w:basedOn w:val="Normal"/>
    <w:link w:val="FootnoteTextChar"/>
    <w:uiPriority w:val="99"/>
    <w:semiHidden/>
    <w:unhideWhenUsed/>
    <w:rsid w:val="001B6AA3"/>
    <w:rPr>
      <w:sz w:val="20"/>
      <w:szCs w:val="20"/>
    </w:rPr>
  </w:style>
  <w:style w:type="character" w:customStyle="1" w:styleId="FootnoteTextChar">
    <w:name w:val="Footnote Text Char"/>
    <w:basedOn w:val="DefaultParagraphFont"/>
    <w:link w:val="FootnoteText"/>
    <w:uiPriority w:val="99"/>
    <w:semiHidden/>
    <w:rsid w:val="001B6AA3"/>
  </w:style>
  <w:style w:type="character" w:styleId="FootnoteReference">
    <w:name w:val="footnote reference"/>
    <w:basedOn w:val="DefaultParagraphFont"/>
    <w:uiPriority w:val="99"/>
    <w:semiHidden/>
    <w:unhideWhenUsed/>
    <w:rsid w:val="001B6AA3"/>
    <w:rPr>
      <w:vertAlign w:val="superscript"/>
    </w:rPr>
  </w:style>
  <w:style w:type="character" w:styleId="CommentReference">
    <w:name w:val="annotation reference"/>
    <w:basedOn w:val="DefaultParagraphFont"/>
    <w:uiPriority w:val="99"/>
    <w:semiHidden/>
    <w:unhideWhenUsed/>
    <w:rsid w:val="009421B9"/>
    <w:rPr>
      <w:sz w:val="16"/>
      <w:szCs w:val="16"/>
    </w:rPr>
  </w:style>
  <w:style w:type="paragraph" w:styleId="CommentText">
    <w:name w:val="annotation text"/>
    <w:basedOn w:val="Normal"/>
    <w:link w:val="CommentTextChar"/>
    <w:uiPriority w:val="99"/>
    <w:semiHidden/>
    <w:unhideWhenUsed/>
    <w:rsid w:val="009421B9"/>
    <w:rPr>
      <w:sz w:val="20"/>
      <w:szCs w:val="20"/>
    </w:rPr>
  </w:style>
  <w:style w:type="character" w:customStyle="1" w:styleId="CommentTextChar">
    <w:name w:val="Comment Text Char"/>
    <w:basedOn w:val="DefaultParagraphFont"/>
    <w:link w:val="CommentText"/>
    <w:uiPriority w:val="99"/>
    <w:semiHidden/>
    <w:rsid w:val="009421B9"/>
  </w:style>
  <w:style w:type="paragraph" w:styleId="CommentSubject">
    <w:name w:val="annotation subject"/>
    <w:basedOn w:val="CommentText"/>
    <w:next w:val="CommentText"/>
    <w:link w:val="CommentSubjectChar"/>
    <w:uiPriority w:val="99"/>
    <w:semiHidden/>
    <w:unhideWhenUsed/>
    <w:rsid w:val="009421B9"/>
    <w:rPr>
      <w:b/>
      <w:bCs/>
    </w:rPr>
  </w:style>
  <w:style w:type="character" w:customStyle="1" w:styleId="CommentSubjectChar">
    <w:name w:val="Comment Subject Char"/>
    <w:basedOn w:val="CommentTextChar"/>
    <w:link w:val="CommentSubject"/>
    <w:uiPriority w:val="99"/>
    <w:semiHidden/>
    <w:rsid w:val="009421B9"/>
    <w:rPr>
      <w:b/>
      <w:bCs/>
    </w:rPr>
  </w:style>
  <w:style w:type="character" w:customStyle="1" w:styleId="apple-converted-space">
    <w:name w:val="apple-converted-space"/>
    <w:basedOn w:val="DefaultParagraphFont"/>
    <w:rsid w:val="004375AB"/>
  </w:style>
  <w:style w:type="character" w:styleId="FollowedHyperlink">
    <w:name w:val="FollowedHyperlink"/>
    <w:basedOn w:val="DefaultParagraphFont"/>
    <w:uiPriority w:val="99"/>
    <w:semiHidden/>
    <w:unhideWhenUsed/>
    <w:rsid w:val="00396B5F"/>
    <w:rPr>
      <w:color w:val="800080" w:themeColor="followedHyperlink"/>
      <w:u w:val="single"/>
    </w:rPr>
  </w:style>
  <w:style w:type="table" w:styleId="TableGrid">
    <w:name w:val="Table Grid"/>
    <w:basedOn w:val="TableNormal"/>
    <w:uiPriority w:val="59"/>
    <w:rsid w:val="003764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9215327">
      <w:bodyDiv w:val="1"/>
      <w:marLeft w:val="0"/>
      <w:marRight w:val="0"/>
      <w:marTop w:val="0"/>
      <w:marBottom w:val="0"/>
      <w:divBdr>
        <w:top w:val="none" w:sz="0" w:space="0" w:color="auto"/>
        <w:left w:val="none" w:sz="0" w:space="0" w:color="auto"/>
        <w:bottom w:val="none" w:sz="0" w:space="0" w:color="auto"/>
        <w:right w:val="none" w:sz="0" w:space="0" w:color="auto"/>
      </w:divBdr>
    </w:div>
    <w:div w:id="1157964174">
      <w:bodyDiv w:val="1"/>
      <w:marLeft w:val="0"/>
      <w:marRight w:val="0"/>
      <w:marTop w:val="0"/>
      <w:marBottom w:val="0"/>
      <w:divBdr>
        <w:top w:val="none" w:sz="0" w:space="0" w:color="auto"/>
        <w:left w:val="none" w:sz="0" w:space="0" w:color="auto"/>
        <w:bottom w:val="none" w:sz="0" w:space="0" w:color="auto"/>
        <w:right w:val="none" w:sz="0" w:space="0" w:color="auto"/>
      </w:divBdr>
      <w:divsChild>
        <w:div w:id="1245802097">
          <w:marLeft w:val="1166"/>
          <w:marRight w:val="0"/>
          <w:marTop w:val="96"/>
          <w:marBottom w:val="0"/>
          <w:divBdr>
            <w:top w:val="none" w:sz="0" w:space="0" w:color="auto"/>
            <w:left w:val="none" w:sz="0" w:space="0" w:color="auto"/>
            <w:bottom w:val="none" w:sz="0" w:space="0" w:color="auto"/>
            <w:right w:val="none" w:sz="0" w:space="0" w:color="auto"/>
          </w:divBdr>
        </w:div>
        <w:div w:id="2141268463">
          <w:marLeft w:val="1166"/>
          <w:marRight w:val="0"/>
          <w:marTop w:val="96"/>
          <w:marBottom w:val="0"/>
          <w:divBdr>
            <w:top w:val="none" w:sz="0" w:space="0" w:color="auto"/>
            <w:left w:val="none" w:sz="0" w:space="0" w:color="auto"/>
            <w:bottom w:val="none" w:sz="0" w:space="0" w:color="auto"/>
            <w:right w:val="none" w:sz="0" w:space="0" w:color="auto"/>
          </w:divBdr>
        </w:div>
        <w:div w:id="1209295599">
          <w:marLeft w:val="1166"/>
          <w:marRight w:val="0"/>
          <w:marTop w:val="96"/>
          <w:marBottom w:val="0"/>
          <w:divBdr>
            <w:top w:val="none" w:sz="0" w:space="0" w:color="auto"/>
            <w:left w:val="none" w:sz="0" w:space="0" w:color="auto"/>
            <w:bottom w:val="none" w:sz="0" w:space="0" w:color="auto"/>
            <w:right w:val="none" w:sz="0" w:space="0" w:color="auto"/>
          </w:divBdr>
        </w:div>
        <w:div w:id="630786934">
          <w:marLeft w:val="1166"/>
          <w:marRight w:val="0"/>
          <w:marTop w:val="96"/>
          <w:marBottom w:val="0"/>
          <w:divBdr>
            <w:top w:val="none" w:sz="0" w:space="0" w:color="auto"/>
            <w:left w:val="none" w:sz="0" w:space="0" w:color="auto"/>
            <w:bottom w:val="none" w:sz="0" w:space="0" w:color="auto"/>
            <w:right w:val="none" w:sz="0" w:space="0" w:color="auto"/>
          </w:divBdr>
        </w:div>
        <w:div w:id="1074595197">
          <w:marLeft w:val="1166"/>
          <w:marRight w:val="0"/>
          <w:marTop w:val="96"/>
          <w:marBottom w:val="0"/>
          <w:divBdr>
            <w:top w:val="none" w:sz="0" w:space="0" w:color="auto"/>
            <w:left w:val="none" w:sz="0" w:space="0" w:color="auto"/>
            <w:bottom w:val="none" w:sz="0" w:space="0" w:color="auto"/>
            <w:right w:val="none" w:sz="0" w:space="0" w:color="auto"/>
          </w:divBdr>
        </w:div>
        <w:div w:id="1161701487">
          <w:marLeft w:val="1166"/>
          <w:marRight w:val="0"/>
          <w:marTop w:val="96"/>
          <w:marBottom w:val="0"/>
          <w:divBdr>
            <w:top w:val="none" w:sz="0" w:space="0" w:color="auto"/>
            <w:left w:val="none" w:sz="0" w:space="0" w:color="auto"/>
            <w:bottom w:val="none" w:sz="0" w:space="0" w:color="auto"/>
            <w:right w:val="none" w:sz="0" w:space="0" w:color="auto"/>
          </w:divBdr>
        </w:div>
      </w:divsChild>
    </w:div>
    <w:div w:id="1777014732">
      <w:bodyDiv w:val="1"/>
      <w:marLeft w:val="0"/>
      <w:marRight w:val="0"/>
      <w:marTop w:val="0"/>
      <w:marBottom w:val="0"/>
      <w:divBdr>
        <w:top w:val="none" w:sz="0" w:space="0" w:color="auto"/>
        <w:left w:val="none" w:sz="0" w:space="0" w:color="auto"/>
        <w:bottom w:val="none" w:sz="0" w:space="0" w:color="auto"/>
        <w:right w:val="none" w:sz="0" w:space="0" w:color="auto"/>
      </w:divBdr>
    </w:div>
    <w:div w:id="2042896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t.gov/doh"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lette.slover@ct.go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arilyn.Taylor@ct.gov" TargetMode="External"/><Relationship Id="rId4" Type="http://schemas.openxmlformats.org/officeDocument/2006/relationships/settings" Target="settings.xml"/><Relationship Id="rId9" Type="http://schemas.openxmlformats.org/officeDocument/2006/relationships/hyperlink" Target="mailto:applicationrequest@chfa.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2C8F35-56F4-4EDF-A854-2D2DB939F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2215</TotalTime>
  <Pages>4</Pages>
  <Words>1449</Words>
  <Characters>8265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NOTICE OF FUNDING AVAILABILITY</vt:lpstr>
    </vt:vector>
  </TitlesOfParts>
  <Company>CHFA</Company>
  <LinksUpToDate>false</LinksUpToDate>
  <CharactersWithSpaces>9695</CharactersWithSpaces>
  <SharedDoc>false</SharedDoc>
  <HLinks>
    <vt:vector size="12" baseType="variant">
      <vt:variant>
        <vt:i4>6226009</vt:i4>
      </vt:variant>
      <vt:variant>
        <vt:i4>3</vt:i4>
      </vt:variant>
      <vt:variant>
        <vt:i4>0</vt:i4>
      </vt:variant>
      <vt:variant>
        <vt:i4>5</vt:i4>
      </vt:variant>
      <vt:variant>
        <vt:lpwstr>http://www.decd.org/</vt:lpwstr>
      </vt:variant>
      <vt:variant>
        <vt:lpwstr/>
      </vt:variant>
      <vt:variant>
        <vt:i4>6226009</vt:i4>
      </vt:variant>
      <vt:variant>
        <vt:i4>0</vt:i4>
      </vt:variant>
      <vt:variant>
        <vt:i4>0</vt:i4>
      </vt:variant>
      <vt:variant>
        <vt:i4>5</vt:i4>
      </vt:variant>
      <vt:variant>
        <vt:lpwstr>http://www.decd.org/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FUNDING AVAILABILITY</dc:title>
  <dc:creator>Nick Lundgren</dc:creator>
  <cp:lastModifiedBy>Slover, Colette</cp:lastModifiedBy>
  <cp:revision>39</cp:revision>
  <cp:lastPrinted>2015-09-14T15:49:00Z</cp:lastPrinted>
  <dcterms:created xsi:type="dcterms:W3CDTF">2014-08-01T12:34:00Z</dcterms:created>
  <dcterms:modified xsi:type="dcterms:W3CDTF">2015-09-30T16:54:00Z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