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rsidR="000C6827" w:rsidRPr="00AE3084" w:rsidRDefault="000C6827" w:rsidP="000C6827">
      <w:pPr>
        <w:spacing w:after="0"/>
        <w:jc w:val="center"/>
      </w:pPr>
      <w:r w:rsidRPr="00AE3084">
        <w:t>Department of Administrative Services</w:t>
      </w:r>
    </w:p>
    <w:p w:rsidR="000C6827" w:rsidRPr="00AE3084" w:rsidRDefault="000C6827" w:rsidP="000C6827">
      <w:pPr>
        <w:spacing w:after="0"/>
        <w:jc w:val="center"/>
      </w:pPr>
      <w:r w:rsidRPr="00AE3084">
        <w:t>Division of Construction Services</w:t>
      </w:r>
    </w:p>
    <w:p w:rsidR="000C6827" w:rsidRPr="00AE3084" w:rsidRDefault="000C6827" w:rsidP="000C6827">
      <w:pPr>
        <w:spacing w:after="0"/>
        <w:jc w:val="center"/>
      </w:pPr>
      <w:r w:rsidRPr="00AE3084">
        <w:t>Office of the State Fire Marshal</w:t>
      </w:r>
    </w:p>
    <w:p w:rsidR="000C6827" w:rsidRDefault="000C6827" w:rsidP="000C6827">
      <w:pPr>
        <w:spacing w:after="0"/>
      </w:pPr>
    </w:p>
    <w:p w:rsidR="000C6827" w:rsidRDefault="00D12EA8" w:rsidP="000C6827">
      <w:pPr>
        <w:spacing w:after="0"/>
      </w:pPr>
      <w:r>
        <w:t>Policy Directive: #</w:t>
      </w:r>
      <w:r w:rsidR="0018130C">
        <w:t>3</w:t>
      </w:r>
      <w:r w:rsidR="00C35D1B">
        <w:t>, Addendum #1</w:t>
      </w:r>
      <w:r w:rsidR="000C6827">
        <w:tab/>
      </w:r>
      <w:r w:rsidR="000C6827">
        <w:tab/>
      </w:r>
      <w:r w:rsidR="000C6827">
        <w:tab/>
      </w:r>
      <w:r w:rsidR="000C6827">
        <w:tab/>
      </w:r>
      <w:r w:rsidR="000C6827">
        <w:tab/>
        <w:t xml:space="preserve">Date: </w:t>
      </w:r>
      <w:r w:rsidR="00AE3084" w:rsidRPr="00AE3084">
        <w:t>June</w:t>
      </w:r>
      <w:r w:rsidR="006F7051" w:rsidRPr="00AE3084">
        <w:t xml:space="preserve"> 1, 201</w:t>
      </w:r>
      <w:r w:rsidR="004151CA" w:rsidRPr="00AE3084">
        <w:t>9</w:t>
      </w:r>
    </w:p>
    <w:p w:rsidR="000C6827" w:rsidRDefault="000C6827" w:rsidP="000C6827">
      <w:pPr>
        <w:spacing w:after="0"/>
      </w:pPr>
      <w:r>
        <w:t xml:space="preserve">Replaces: </w:t>
      </w:r>
      <w:r w:rsidR="003D6B34">
        <w:t>Directive #</w:t>
      </w:r>
      <w:r w:rsidR="0018130C">
        <w:t>3</w:t>
      </w:r>
      <w:r w:rsidR="003D6B34">
        <w:t xml:space="preserve">, </w:t>
      </w:r>
      <w:r w:rsidR="00C35D1B">
        <w:t xml:space="preserve">Addendum #1 </w:t>
      </w:r>
      <w:r w:rsidR="00811DEB">
        <w:t xml:space="preserve">dated </w:t>
      </w:r>
      <w:r w:rsidR="00C35D1B">
        <w:t>11/85</w:t>
      </w:r>
      <w:r w:rsidR="006F7051" w:rsidRPr="00AE3084">
        <w:t>, 7/01</w:t>
      </w:r>
      <w:r w:rsidR="0018130C" w:rsidRPr="00AE3084">
        <w:tab/>
      </w:r>
      <w:r>
        <w:tab/>
      </w:r>
      <w:r w:rsidR="001A7200">
        <w:tab/>
      </w:r>
      <w:r>
        <w:t>Duration: Until Revised</w:t>
      </w:r>
    </w:p>
    <w:p w:rsidR="000C6827" w:rsidRDefault="000C6827" w:rsidP="000C6827">
      <w:pPr>
        <w:spacing w:after="0"/>
      </w:pPr>
      <w:r>
        <w:t>Administered by: OSFM</w:t>
      </w:r>
      <w:r>
        <w:tab/>
      </w:r>
      <w:r>
        <w:tab/>
      </w:r>
      <w:r>
        <w:tab/>
      </w:r>
      <w:r>
        <w:tab/>
      </w:r>
      <w:r>
        <w:tab/>
      </w:r>
      <w:r>
        <w:tab/>
      </w:r>
      <w:r>
        <w:tab/>
        <w:t>Authority: State Fire Marshal</w:t>
      </w:r>
    </w:p>
    <w:p w:rsidR="000C6827" w:rsidRDefault="000C6827" w:rsidP="000C6827">
      <w:pPr>
        <w:pBdr>
          <w:bottom w:val="single" w:sz="12" w:space="1" w:color="auto"/>
        </w:pBdr>
        <w:spacing w:after="0"/>
      </w:pPr>
    </w:p>
    <w:p w:rsidR="000C6827" w:rsidRDefault="000C6827" w:rsidP="000C6827">
      <w:pPr>
        <w:spacing w:after="0"/>
      </w:pPr>
    </w:p>
    <w:p w:rsidR="000C6827" w:rsidRDefault="000C6827" w:rsidP="00C35D1B">
      <w:pPr>
        <w:pBdr>
          <w:bottom w:val="single" w:sz="12" w:space="1" w:color="auto"/>
        </w:pBdr>
        <w:spacing w:after="0"/>
      </w:pPr>
      <w:r w:rsidRPr="000B7AFD">
        <w:rPr>
          <w:b/>
          <w:sz w:val="28"/>
          <w:szCs w:val="28"/>
        </w:rPr>
        <w:t>Subject:</w:t>
      </w:r>
      <w:r w:rsidRPr="000B7AFD">
        <w:rPr>
          <w:b/>
          <w:sz w:val="28"/>
          <w:szCs w:val="28"/>
        </w:rPr>
        <w:tab/>
      </w:r>
      <w:r>
        <w:tab/>
      </w:r>
      <w:r w:rsidR="0018130C">
        <w:rPr>
          <w:b/>
          <w:sz w:val="28"/>
          <w:szCs w:val="28"/>
        </w:rPr>
        <w:t>ABATEMENT PROCEDURES</w:t>
      </w:r>
      <w:r w:rsidR="00C35D1B">
        <w:rPr>
          <w:b/>
          <w:sz w:val="28"/>
          <w:szCs w:val="28"/>
        </w:rPr>
        <w:t xml:space="preserve"> – Inspection Report Form</w:t>
      </w:r>
    </w:p>
    <w:p w:rsidR="000C6827" w:rsidRDefault="000C6827" w:rsidP="000C6827">
      <w:pPr>
        <w:spacing w:after="0"/>
      </w:pPr>
    </w:p>
    <w:p w:rsidR="000C6827" w:rsidRDefault="000C6827" w:rsidP="000C6827">
      <w:pPr>
        <w:spacing w:after="0"/>
        <w:rPr>
          <w:b/>
          <w:sz w:val="24"/>
          <w:szCs w:val="24"/>
        </w:rPr>
      </w:pPr>
      <w:r w:rsidRPr="00DC1D70">
        <w:rPr>
          <w:b/>
          <w:sz w:val="24"/>
          <w:szCs w:val="24"/>
        </w:rPr>
        <w:t>Purpose:</w:t>
      </w:r>
    </w:p>
    <w:p w:rsidR="000B7AFD" w:rsidRPr="007D18A9" w:rsidRDefault="000B7AFD" w:rsidP="000C6827">
      <w:pPr>
        <w:spacing w:after="0"/>
        <w:rPr>
          <w:sz w:val="24"/>
          <w:szCs w:val="24"/>
        </w:rPr>
      </w:pPr>
    </w:p>
    <w:p w:rsidR="007137E8" w:rsidRDefault="007D18A9" w:rsidP="007137E8">
      <w:pPr>
        <w:spacing w:after="0"/>
      </w:pPr>
      <w:r>
        <w:t>To provide a st</w:t>
      </w:r>
      <w:r w:rsidR="00EF101E">
        <w:t>andardized format for the documentation of violations relative to fire and/or life safety hazards that are found to exist at a specific address.</w:t>
      </w:r>
    </w:p>
    <w:p w:rsidR="00F10109" w:rsidRDefault="00F10109" w:rsidP="007137E8">
      <w:pPr>
        <w:spacing w:after="0"/>
      </w:pPr>
    </w:p>
    <w:p w:rsidR="007137E8" w:rsidRPr="00DC1D70" w:rsidRDefault="007137E8" w:rsidP="007137E8">
      <w:pPr>
        <w:spacing w:after="0"/>
        <w:rPr>
          <w:b/>
          <w:sz w:val="24"/>
          <w:szCs w:val="24"/>
        </w:rPr>
      </w:pPr>
      <w:r w:rsidRPr="00DC1D70">
        <w:rPr>
          <w:b/>
          <w:sz w:val="24"/>
          <w:szCs w:val="24"/>
        </w:rPr>
        <w:t>Discussion:</w:t>
      </w:r>
    </w:p>
    <w:p w:rsidR="003D6B34" w:rsidRDefault="003D6B34" w:rsidP="00D12EA8">
      <w:pPr>
        <w:spacing w:after="0"/>
      </w:pPr>
    </w:p>
    <w:p w:rsidR="00AE3084" w:rsidRDefault="00EF101E" w:rsidP="00C93E2F">
      <w:pPr>
        <w:spacing w:after="0"/>
      </w:pPr>
      <w:r>
        <w:t xml:space="preserve">This office has taken steps to standardize the </w:t>
      </w:r>
      <w:r w:rsidR="00AE3084">
        <w:t xml:space="preserve">information required for </w:t>
      </w:r>
      <w:r>
        <w:t xml:space="preserve">abatement proceedings and/or enforcement actions for non-compliance with the statutes relating to fire prevention or </w:t>
      </w:r>
      <w:r w:rsidR="00AE3084">
        <w:t xml:space="preserve">fire </w:t>
      </w:r>
      <w:r>
        <w:t xml:space="preserve">safety, </w:t>
      </w:r>
      <w:r w:rsidRPr="00AE3084">
        <w:t>or any regulation</w:t>
      </w:r>
      <w:r>
        <w:t xml:space="preserve"> made pursuant thereto as outlined in Policy Directive #3, dated </w:t>
      </w:r>
      <w:r w:rsidR="00AE3084" w:rsidRPr="00AE3084">
        <w:t>June 1, 2019.</w:t>
      </w:r>
    </w:p>
    <w:p w:rsidR="00EF101E" w:rsidRDefault="00AE3084" w:rsidP="00C93E2F">
      <w:pPr>
        <w:spacing w:after="0"/>
      </w:pPr>
      <w:r>
        <w:t xml:space="preserve"> </w:t>
      </w:r>
    </w:p>
    <w:p w:rsidR="00EF101E" w:rsidRDefault="00EF101E" w:rsidP="00C93E2F">
      <w:pPr>
        <w:spacing w:after="0"/>
      </w:pPr>
      <w:r>
        <w:t xml:space="preserve">The Inspection Report is a component of this standardization and is intended to provide uniformity that presently </w:t>
      </w:r>
      <w:r w:rsidR="00AE3084">
        <w:t>may</w:t>
      </w:r>
      <w:r>
        <w:t xml:space="preserve"> not exist due to the wide ranging differences in inspection report forms in use throughout the various jurisdictions.</w:t>
      </w:r>
    </w:p>
    <w:p w:rsidR="00EF101E" w:rsidRDefault="00EF101E" w:rsidP="00C93E2F">
      <w:pPr>
        <w:spacing w:after="0"/>
      </w:pPr>
    </w:p>
    <w:p w:rsidR="00EF101E" w:rsidRDefault="00EF101E" w:rsidP="00C93E2F">
      <w:pPr>
        <w:spacing w:after="0"/>
      </w:pPr>
      <w:r>
        <w:t xml:space="preserve">The use of this </w:t>
      </w:r>
      <w:r w:rsidR="00AE3084">
        <w:t>information</w:t>
      </w:r>
      <w:r>
        <w:t xml:space="preserve"> is required and its purpose is for the identification of actual violations only. Its usage does not prevent the existing practice of the issuing non-violation recommendations made in the interest of life safety, so long as this is accomplished via a means other than the Inspection Report.</w:t>
      </w:r>
    </w:p>
    <w:p w:rsidR="006105D3" w:rsidRDefault="006105D3" w:rsidP="00C93E2F">
      <w:pPr>
        <w:spacing w:after="0"/>
      </w:pPr>
    </w:p>
    <w:p w:rsidR="00C93E2F" w:rsidRDefault="006105D3" w:rsidP="00C93E2F">
      <w:pPr>
        <w:spacing w:after="0"/>
        <w:rPr>
          <w:b/>
          <w:sz w:val="24"/>
          <w:szCs w:val="24"/>
        </w:rPr>
      </w:pPr>
      <w:r>
        <w:rPr>
          <w:b/>
          <w:sz w:val="24"/>
          <w:szCs w:val="24"/>
        </w:rPr>
        <w:t>Procedure:</w:t>
      </w:r>
    </w:p>
    <w:p w:rsidR="006105D3" w:rsidRDefault="006105D3" w:rsidP="00C93E2F">
      <w:pPr>
        <w:spacing w:after="0"/>
        <w:rPr>
          <w:b/>
          <w:sz w:val="24"/>
          <w:szCs w:val="24"/>
        </w:rPr>
      </w:pPr>
    </w:p>
    <w:p w:rsidR="00EF101E" w:rsidRDefault="00EF101E" w:rsidP="00C93E2F">
      <w:pPr>
        <w:spacing w:after="0"/>
        <w:rPr>
          <w:sz w:val="24"/>
          <w:szCs w:val="24"/>
        </w:rPr>
      </w:pPr>
      <w:r>
        <w:rPr>
          <w:b/>
          <w:sz w:val="24"/>
          <w:szCs w:val="24"/>
        </w:rPr>
        <w:t xml:space="preserve">Initial Inspection: </w:t>
      </w:r>
      <w:r w:rsidRPr="00EF101E">
        <w:rPr>
          <w:sz w:val="24"/>
          <w:szCs w:val="24"/>
        </w:rPr>
        <w:t>An inspection report will be completed for the first inspection of each calendar year.</w:t>
      </w:r>
    </w:p>
    <w:p w:rsidR="00EF101E" w:rsidRDefault="00EF101E" w:rsidP="00C93E2F">
      <w:pPr>
        <w:spacing w:after="0"/>
        <w:rPr>
          <w:sz w:val="24"/>
          <w:szCs w:val="24"/>
        </w:rPr>
      </w:pPr>
    </w:p>
    <w:p w:rsidR="00EF101E" w:rsidRPr="00EF101E" w:rsidRDefault="00EF101E" w:rsidP="00C93E2F">
      <w:pPr>
        <w:spacing w:after="0"/>
        <w:rPr>
          <w:sz w:val="24"/>
          <w:szCs w:val="24"/>
        </w:rPr>
      </w:pPr>
      <w:r w:rsidRPr="00C55C3D">
        <w:rPr>
          <w:b/>
          <w:sz w:val="24"/>
          <w:szCs w:val="24"/>
        </w:rPr>
        <w:t>Subsequent Inspections:</w:t>
      </w:r>
      <w:r>
        <w:rPr>
          <w:sz w:val="24"/>
          <w:szCs w:val="24"/>
        </w:rPr>
        <w:t xml:space="preserve"> A separate form may be used for each follow-up </w:t>
      </w:r>
      <w:r w:rsidR="00C55C3D">
        <w:rPr>
          <w:sz w:val="24"/>
          <w:szCs w:val="24"/>
        </w:rPr>
        <w:t>inspection, or a copy of the initial report may be used to note the progress or lack thereof relative to corrective action. This is accomplished by using the “Date Violation Corrected” and “Comments” sections of the form.</w:t>
      </w:r>
    </w:p>
    <w:p w:rsidR="00EF101E" w:rsidRDefault="00EF101E" w:rsidP="00C93E2F">
      <w:pPr>
        <w:spacing w:after="0"/>
        <w:rPr>
          <w:b/>
          <w:sz w:val="24"/>
          <w:szCs w:val="24"/>
        </w:rPr>
      </w:pPr>
    </w:p>
    <w:p w:rsidR="00C55C3D" w:rsidRDefault="00C55C3D" w:rsidP="00C93E2F">
      <w:pPr>
        <w:spacing w:after="0"/>
        <w:rPr>
          <w:b/>
          <w:sz w:val="24"/>
          <w:szCs w:val="24"/>
        </w:rPr>
      </w:pPr>
    </w:p>
    <w:p w:rsidR="00C55C3D" w:rsidRDefault="00C55C3D" w:rsidP="00C93E2F">
      <w:pPr>
        <w:spacing w:after="0"/>
        <w:rPr>
          <w:b/>
          <w:sz w:val="24"/>
          <w:szCs w:val="24"/>
        </w:rPr>
      </w:pPr>
    </w:p>
    <w:p w:rsidR="00C55C3D" w:rsidRDefault="00C55C3D" w:rsidP="00C93E2F">
      <w:pPr>
        <w:spacing w:after="0"/>
        <w:rPr>
          <w:b/>
          <w:sz w:val="24"/>
          <w:szCs w:val="24"/>
        </w:rPr>
      </w:pPr>
    </w:p>
    <w:p w:rsidR="000B55FF" w:rsidRDefault="000B55FF" w:rsidP="00C93E2F">
      <w:pPr>
        <w:spacing w:after="0"/>
        <w:rPr>
          <w:b/>
          <w:sz w:val="24"/>
          <w:szCs w:val="24"/>
        </w:rPr>
      </w:pPr>
    </w:p>
    <w:p w:rsidR="00EF101E" w:rsidRDefault="00C55C3D" w:rsidP="00C93E2F">
      <w:pPr>
        <w:spacing w:after="0"/>
        <w:rPr>
          <w:b/>
          <w:sz w:val="24"/>
          <w:szCs w:val="24"/>
        </w:rPr>
      </w:pPr>
      <w:r w:rsidRPr="00C55C3D">
        <w:rPr>
          <w:b/>
          <w:sz w:val="24"/>
          <w:szCs w:val="24"/>
        </w:rPr>
        <w:t>Form Fields are as Follows:</w:t>
      </w:r>
    </w:p>
    <w:p w:rsidR="00C55C3D" w:rsidRDefault="00C55C3D" w:rsidP="00C93E2F">
      <w:pPr>
        <w:spacing w:after="0"/>
        <w:rPr>
          <w:sz w:val="24"/>
          <w:szCs w:val="24"/>
        </w:rPr>
      </w:pPr>
    </w:p>
    <w:p w:rsidR="00C55C3D" w:rsidRDefault="00C55C3D" w:rsidP="00C93E2F">
      <w:pPr>
        <w:spacing w:after="0"/>
        <w:rPr>
          <w:sz w:val="24"/>
          <w:szCs w:val="24"/>
        </w:rPr>
      </w:pPr>
      <w:r w:rsidRPr="000B55FF">
        <w:rPr>
          <w:sz w:val="24"/>
          <w:szCs w:val="24"/>
          <w:u w:val="single"/>
        </w:rPr>
        <w:t>Case No.</w:t>
      </w:r>
      <w:r>
        <w:rPr>
          <w:sz w:val="24"/>
          <w:szCs w:val="24"/>
        </w:rPr>
        <w:t xml:space="preserve"> – Self-explanatory (for municipal use as a tracking guide)</w:t>
      </w:r>
    </w:p>
    <w:p w:rsidR="00C55C3D" w:rsidRDefault="00C55C3D" w:rsidP="00C93E2F">
      <w:pPr>
        <w:spacing w:after="0"/>
        <w:rPr>
          <w:sz w:val="24"/>
          <w:szCs w:val="24"/>
        </w:rPr>
      </w:pPr>
    </w:p>
    <w:p w:rsidR="00C55C3D" w:rsidRDefault="00C55C3D" w:rsidP="00C93E2F">
      <w:pPr>
        <w:spacing w:after="0"/>
        <w:rPr>
          <w:sz w:val="24"/>
          <w:szCs w:val="24"/>
        </w:rPr>
      </w:pPr>
      <w:r w:rsidRPr="000B55FF">
        <w:rPr>
          <w:sz w:val="24"/>
          <w:szCs w:val="24"/>
          <w:u w:val="single"/>
        </w:rPr>
        <w:t>Inspection Date</w:t>
      </w:r>
      <w:r>
        <w:rPr>
          <w:sz w:val="24"/>
          <w:szCs w:val="24"/>
        </w:rPr>
        <w:t xml:space="preserve"> – Initial Inspection – Use the appropriate date. If using a copy of the initial report for follow-up purposes, note the date the follow-up was conducted in the comment section next to the appropriate violation.</w:t>
      </w:r>
    </w:p>
    <w:p w:rsidR="00C55C3D" w:rsidRDefault="00C55C3D" w:rsidP="00C93E2F">
      <w:pPr>
        <w:spacing w:after="0"/>
        <w:rPr>
          <w:sz w:val="24"/>
          <w:szCs w:val="24"/>
        </w:rPr>
      </w:pPr>
    </w:p>
    <w:p w:rsidR="00C55C3D" w:rsidRDefault="00C55C3D" w:rsidP="00C93E2F">
      <w:pPr>
        <w:spacing w:after="0"/>
        <w:rPr>
          <w:sz w:val="24"/>
          <w:szCs w:val="24"/>
        </w:rPr>
      </w:pPr>
      <w:r w:rsidRPr="000B55FF">
        <w:rPr>
          <w:sz w:val="24"/>
          <w:szCs w:val="24"/>
          <w:u w:val="single"/>
        </w:rPr>
        <w:t>Owner/Occupant</w:t>
      </w:r>
      <w:r>
        <w:rPr>
          <w:sz w:val="24"/>
          <w:szCs w:val="24"/>
        </w:rPr>
        <w:t xml:space="preserve"> – List the person having legal responsibility for correcting the violations.</w:t>
      </w:r>
    </w:p>
    <w:p w:rsidR="00C55C3D" w:rsidRDefault="00C55C3D" w:rsidP="00C93E2F">
      <w:pPr>
        <w:spacing w:after="0"/>
        <w:rPr>
          <w:sz w:val="24"/>
          <w:szCs w:val="24"/>
        </w:rPr>
      </w:pPr>
    </w:p>
    <w:p w:rsidR="00C55C3D" w:rsidRDefault="00C55C3D" w:rsidP="00C93E2F">
      <w:pPr>
        <w:spacing w:after="0"/>
        <w:rPr>
          <w:sz w:val="24"/>
          <w:szCs w:val="24"/>
        </w:rPr>
      </w:pPr>
      <w:r w:rsidRPr="000B55FF">
        <w:rPr>
          <w:sz w:val="24"/>
          <w:szCs w:val="24"/>
          <w:u w:val="single"/>
        </w:rPr>
        <w:t xml:space="preserve">Address </w:t>
      </w:r>
      <w:r>
        <w:rPr>
          <w:sz w:val="24"/>
          <w:szCs w:val="24"/>
        </w:rPr>
        <w:t>– Self</w:t>
      </w:r>
      <w:r w:rsidR="000B55FF">
        <w:rPr>
          <w:sz w:val="24"/>
          <w:szCs w:val="24"/>
        </w:rPr>
        <w:t>-</w:t>
      </w:r>
      <w:r w:rsidR="0025781B">
        <w:rPr>
          <w:sz w:val="24"/>
          <w:szCs w:val="24"/>
        </w:rPr>
        <w:t>Explanatory</w:t>
      </w:r>
    </w:p>
    <w:p w:rsidR="0025781B" w:rsidRDefault="0025781B" w:rsidP="00C93E2F">
      <w:pPr>
        <w:spacing w:after="0"/>
        <w:rPr>
          <w:sz w:val="24"/>
          <w:szCs w:val="24"/>
        </w:rPr>
      </w:pPr>
    </w:p>
    <w:p w:rsidR="0025781B" w:rsidRDefault="0025781B" w:rsidP="00C93E2F">
      <w:pPr>
        <w:spacing w:after="0"/>
        <w:rPr>
          <w:sz w:val="24"/>
          <w:szCs w:val="24"/>
        </w:rPr>
      </w:pPr>
      <w:r w:rsidRPr="000B55FF">
        <w:rPr>
          <w:sz w:val="24"/>
          <w:szCs w:val="24"/>
          <w:u w:val="single"/>
        </w:rPr>
        <w:t>Violations</w:t>
      </w:r>
      <w:r>
        <w:rPr>
          <w:sz w:val="24"/>
          <w:szCs w:val="24"/>
        </w:rPr>
        <w:t xml:space="preserve"> – Sequentially numbered</w:t>
      </w:r>
    </w:p>
    <w:p w:rsidR="0025781B" w:rsidRDefault="0025781B" w:rsidP="00C93E2F">
      <w:pPr>
        <w:spacing w:after="0"/>
        <w:rPr>
          <w:sz w:val="24"/>
          <w:szCs w:val="24"/>
        </w:rPr>
      </w:pPr>
    </w:p>
    <w:p w:rsidR="0025781B" w:rsidRDefault="0025781B" w:rsidP="00C93E2F">
      <w:pPr>
        <w:spacing w:after="0"/>
        <w:rPr>
          <w:sz w:val="24"/>
          <w:szCs w:val="24"/>
        </w:rPr>
      </w:pPr>
      <w:r w:rsidRPr="000B55FF">
        <w:rPr>
          <w:sz w:val="24"/>
          <w:szCs w:val="24"/>
          <w:u w:val="single"/>
        </w:rPr>
        <w:t xml:space="preserve">Referenced </w:t>
      </w:r>
      <w:r w:rsidR="006F7051" w:rsidRPr="00AE3084">
        <w:rPr>
          <w:sz w:val="24"/>
          <w:szCs w:val="24"/>
          <w:u w:val="single"/>
        </w:rPr>
        <w:t>Code Section</w:t>
      </w:r>
      <w:r w:rsidRPr="00AE3084">
        <w:rPr>
          <w:sz w:val="24"/>
          <w:szCs w:val="24"/>
        </w:rPr>
        <w:t xml:space="preserve"> </w:t>
      </w:r>
      <w:r>
        <w:rPr>
          <w:sz w:val="24"/>
          <w:szCs w:val="24"/>
        </w:rPr>
        <w:t>–</w:t>
      </w:r>
      <w:r w:rsidR="006F7051">
        <w:rPr>
          <w:sz w:val="24"/>
          <w:szCs w:val="24"/>
        </w:rPr>
        <w:t xml:space="preserve"> e.g. CT State Fire Safety Code</w:t>
      </w:r>
      <w:r w:rsidR="004151CA">
        <w:rPr>
          <w:sz w:val="24"/>
          <w:szCs w:val="24"/>
        </w:rPr>
        <w:t>,</w:t>
      </w:r>
      <w:r w:rsidRPr="00BD44B7">
        <w:rPr>
          <w:color w:val="FF0000"/>
          <w:sz w:val="24"/>
          <w:szCs w:val="24"/>
        </w:rPr>
        <w:t xml:space="preserve"> </w:t>
      </w:r>
      <w:r w:rsidR="006F7051" w:rsidRPr="00AE3084">
        <w:rPr>
          <w:sz w:val="24"/>
          <w:szCs w:val="24"/>
        </w:rPr>
        <w:t>CT State Fire Prevention Code</w:t>
      </w:r>
      <w:r>
        <w:rPr>
          <w:sz w:val="24"/>
          <w:szCs w:val="24"/>
        </w:rPr>
        <w:t>, etc.</w:t>
      </w:r>
    </w:p>
    <w:p w:rsidR="0025781B" w:rsidRPr="006F7051" w:rsidRDefault="0025781B" w:rsidP="00C93E2F">
      <w:pPr>
        <w:spacing w:after="0"/>
        <w:rPr>
          <w:strike/>
          <w:sz w:val="24"/>
          <w:szCs w:val="24"/>
        </w:rPr>
      </w:pPr>
    </w:p>
    <w:p w:rsidR="0025781B" w:rsidRDefault="0025781B" w:rsidP="00C93E2F">
      <w:pPr>
        <w:spacing w:after="0"/>
        <w:rPr>
          <w:sz w:val="24"/>
          <w:szCs w:val="24"/>
        </w:rPr>
      </w:pPr>
      <w:r w:rsidRPr="000B55FF">
        <w:rPr>
          <w:sz w:val="24"/>
          <w:szCs w:val="24"/>
          <w:u w:val="single"/>
        </w:rPr>
        <w:t>Violation Location</w:t>
      </w:r>
      <w:r>
        <w:rPr>
          <w:sz w:val="24"/>
          <w:szCs w:val="24"/>
        </w:rPr>
        <w:t xml:space="preserve"> – e.g. Gap at the threshold of door measures 2 inches – must be no more than ¾ inch, the outdoor fuel oil storage tank is 23” from the building where a 5’ minimum distance is required.</w:t>
      </w:r>
    </w:p>
    <w:p w:rsidR="0025781B" w:rsidRDefault="0025781B" w:rsidP="00C93E2F">
      <w:pPr>
        <w:spacing w:after="0"/>
        <w:rPr>
          <w:sz w:val="24"/>
          <w:szCs w:val="24"/>
        </w:rPr>
      </w:pPr>
    </w:p>
    <w:p w:rsidR="000B55FF" w:rsidRDefault="0025781B" w:rsidP="00C93E2F">
      <w:pPr>
        <w:spacing w:after="0"/>
        <w:rPr>
          <w:sz w:val="24"/>
          <w:szCs w:val="24"/>
        </w:rPr>
      </w:pPr>
      <w:r w:rsidRPr="000B55FF">
        <w:rPr>
          <w:sz w:val="24"/>
          <w:szCs w:val="24"/>
          <w:u w:val="single"/>
        </w:rPr>
        <w:t>Specific Time for Compliance</w:t>
      </w:r>
      <w:r>
        <w:rPr>
          <w:sz w:val="24"/>
          <w:szCs w:val="24"/>
        </w:rPr>
        <w:t xml:space="preserve"> – To be used for those violations that necessitate correction before the thirty (30) day period given </w:t>
      </w:r>
      <w:r w:rsidR="000B55FF">
        <w:rPr>
          <w:sz w:val="24"/>
          <w:szCs w:val="24"/>
        </w:rPr>
        <w:t>on the notice. E.g. Exit storage, smoke dampers, etc.</w:t>
      </w:r>
    </w:p>
    <w:p w:rsidR="000B55FF" w:rsidRDefault="000B55FF" w:rsidP="00C93E2F">
      <w:pPr>
        <w:spacing w:after="0"/>
        <w:rPr>
          <w:sz w:val="24"/>
          <w:szCs w:val="24"/>
        </w:rPr>
      </w:pPr>
    </w:p>
    <w:p w:rsidR="000B55FF" w:rsidRDefault="000B55FF" w:rsidP="00C93E2F">
      <w:pPr>
        <w:spacing w:after="0"/>
        <w:rPr>
          <w:sz w:val="24"/>
          <w:szCs w:val="24"/>
        </w:rPr>
      </w:pPr>
      <w:r w:rsidRPr="000B55FF">
        <w:rPr>
          <w:sz w:val="24"/>
          <w:szCs w:val="24"/>
          <w:u w:val="single"/>
        </w:rPr>
        <w:t>Date Violation Corrected</w:t>
      </w:r>
      <w:r>
        <w:rPr>
          <w:sz w:val="24"/>
          <w:szCs w:val="24"/>
        </w:rPr>
        <w:t xml:space="preserve"> – Use for re-inspection.</w:t>
      </w:r>
    </w:p>
    <w:p w:rsidR="000B55FF" w:rsidRDefault="000B55FF" w:rsidP="00C93E2F">
      <w:pPr>
        <w:spacing w:after="0"/>
        <w:rPr>
          <w:sz w:val="24"/>
          <w:szCs w:val="24"/>
        </w:rPr>
      </w:pPr>
    </w:p>
    <w:p w:rsidR="0025781B" w:rsidRDefault="000B55FF" w:rsidP="00C93E2F">
      <w:pPr>
        <w:spacing w:after="0"/>
        <w:rPr>
          <w:sz w:val="24"/>
          <w:szCs w:val="24"/>
        </w:rPr>
      </w:pPr>
      <w:r w:rsidRPr="000B55FF">
        <w:rPr>
          <w:sz w:val="24"/>
          <w:szCs w:val="24"/>
          <w:u w:val="single"/>
        </w:rPr>
        <w:t>Comments</w:t>
      </w:r>
      <w:r w:rsidRPr="000B55FF">
        <w:rPr>
          <w:sz w:val="24"/>
          <w:szCs w:val="24"/>
        </w:rPr>
        <w:t xml:space="preserve"> – </w:t>
      </w:r>
      <w:r>
        <w:rPr>
          <w:sz w:val="24"/>
          <w:szCs w:val="24"/>
        </w:rPr>
        <w:t>At time of re-inspection, note progress or indicate is an extension of time or modification has been granted.</w:t>
      </w:r>
    </w:p>
    <w:p w:rsidR="0025781B" w:rsidRDefault="0025781B" w:rsidP="00C93E2F">
      <w:pPr>
        <w:spacing w:after="0"/>
        <w:rPr>
          <w:sz w:val="24"/>
          <w:szCs w:val="24"/>
        </w:rPr>
      </w:pPr>
    </w:p>
    <w:p w:rsidR="000B55FF" w:rsidRDefault="000B55FF" w:rsidP="00C93E2F">
      <w:pPr>
        <w:spacing w:after="0"/>
        <w:rPr>
          <w:sz w:val="24"/>
          <w:szCs w:val="24"/>
        </w:rPr>
      </w:pPr>
      <w:r w:rsidRPr="000B55FF">
        <w:rPr>
          <w:sz w:val="24"/>
          <w:szCs w:val="24"/>
          <w:u w:val="single"/>
        </w:rPr>
        <w:t>Inspected by</w:t>
      </w:r>
      <w:r>
        <w:rPr>
          <w:sz w:val="24"/>
          <w:szCs w:val="24"/>
        </w:rPr>
        <w:t xml:space="preserve"> – Self-explanatory</w:t>
      </w:r>
    </w:p>
    <w:p w:rsidR="000B55FF" w:rsidRDefault="000B55FF" w:rsidP="00C93E2F">
      <w:pPr>
        <w:spacing w:after="0"/>
        <w:rPr>
          <w:sz w:val="24"/>
          <w:szCs w:val="24"/>
        </w:rPr>
      </w:pPr>
    </w:p>
    <w:p w:rsidR="000B55FF" w:rsidRDefault="000B55FF" w:rsidP="00C93E2F">
      <w:pPr>
        <w:spacing w:after="0"/>
        <w:rPr>
          <w:sz w:val="24"/>
          <w:szCs w:val="24"/>
        </w:rPr>
      </w:pPr>
      <w:r w:rsidRPr="000B55FF">
        <w:rPr>
          <w:sz w:val="24"/>
          <w:szCs w:val="24"/>
          <w:u w:val="single"/>
        </w:rPr>
        <w:t>Approved by</w:t>
      </w:r>
      <w:r>
        <w:rPr>
          <w:sz w:val="24"/>
          <w:szCs w:val="24"/>
        </w:rPr>
        <w:t xml:space="preserve"> – Self-explanatory</w:t>
      </w:r>
    </w:p>
    <w:p w:rsidR="000B55FF" w:rsidRDefault="000B55FF" w:rsidP="00C93E2F">
      <w:pPr>
        <w:spacing w:after="0"/>
        <w:rPr>
          <w:sz w:val="24"/>
          <w:szCs w:val="24"/>
        </w:rPr>
      </w:pPr>
    </w:p>
    <w:p w:rsidR="000B55FF" w:rsidRDefault="000B55FF" w:rsidP="00C93E2F">
      <w:pPr>
        <w:spacing w:after="0"/>
        <w:rPr>
          <w:sz w:val="24"/>
          <w:szCs w:val="24"/>
        </w:rPr>
      </w:pPr>
      <w:r w:rsidRPr="000B55FF">
        <w:rPr>
          <w:sz w:val="24"/>
          <w:szCs w:val="24"/>
          <w:u w:val="single"/>
        </w:rPr>
        <w:t>Building Information</w:t>
      </w:r>
      <w:r>
        <w:rPr>
          <w:sz w:val="24"/>
          <w:szCs w:val="24"/>
        </w:rPr>
        <w:t xml:space="preserve"> – Self-explanatory</w:t>
      </w:r>
    </w:p>
    <w:p w:rsidR="000B55FF" w:rsidRDefault="000B55FF" w:rsidP="00C93E2F">
      <w:pPr>
        <w:spacing w:after="0"/>
        <w:rPr>
          <w:sz w:val="24"/>
          <w:szCs w:val="24"/>
        </w:rPr>
      </w:pPr>
    </w:p>
    <w:p w:rsidR="000B55FF" w:rsidRDefault="000B55FF" w:rsidP="00C93E2F">
      <w:pPr>
        <w:spacing w:after="0"/>
        <w:rPr>
          <w:sz w:val="24"/>
          <w:szCs w:val="24"/>
        </w:rPr>
      </w:pPr>
    </w:p>
    <w:p w:rsidR="000B55FF" w:rsidRPr="00C55C3D" w:rsidRDefault="000B55FF" w:rsidP="00C93E2F">
      <w:pPr>
        <w:spacing w:after="0"/>
        <w:rPr>
          <w:sz w:val="24"/>
          <w:szCs w:val="24"/>
        </w:rPr>
      </w:pPr>
    </w:p>
    <w:sectPr w:rsidR="000B55FF" w:rsidRPr="00C55C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DE" w:rsidRDefault="008924DE" w:rsidP="00697660">
      <w:pPr>
        <w:spacing w:after="0" w:line="240" w:lineRule="auto"/>
      </w:pPr>
      <w:r>
        <w:separator/>
      </w:r>
    </w:p>
  </w:endnote>
  <w:endnote w:type="continuationSeparator" w:id="0">
    <w:p w:rsidR="008924DE" w:rsidRDefault="008924DE" w:rsidP="006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DE" w:rsidRDefault="008924DE" w:rsidP="00697660">
      <w:pPr>
        <w:spacing w:after="0" w:line="240" w:lineRule="auto"/>
      </w:pPr>
      <w:r>
        <w:separator/>
      </w:r>
    </w:p>
  </w:footnote>
  <w:footnote w:type="continuationSeparator" w:id="0">
    <w:p w:rsidR="008924DE" w:rsidRDefault="008924DE" w:rsidP="0069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59" w:rsidRDefault="00F56859">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-390525</wp:posOffset>
              </wp:positionH>
              <wp:positionV relativeFrom="paragraph">
                <wp:posOffset>-342900</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56859" w:rsidRDefault="00F56859" w:rsidP="00F56859">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75pt;margin-top:-27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rsidR="00F56859" w:rsidRDefault="00F56859" w:rsidP="00F56859">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7BD3"/>
    <w:multiLevelType w:val="hybridMultilevel"/>
    <w:tmpl w:val="9B76AD6A"/>
    <w:lvl w:ilvl="0" w:tplc="7DE66A08">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B7BBA"/>
    <w:multiLevelType w:val="hybridMultilevel"/>
    <w:tmpl w:val="5CA20E5A"/>
    <w:lvl w:ilvl="0" w:tplc="F4840E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F708C"/>
    <w:multiLevelType w:val="hybridMultilevel"/>
    <w:tmpl w:val="089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6C45"/>
    <w:multiLevelType w:val="hybridMultilevel"/>
    <w:tmpl w:val="E93E8EAE"/>
    <w:lvl w:ilvl="0" w:tplc="44CE1EEE">
      <w:start w:val="1"/>
      <w:numFmt w:val="upperRoman"/>
      <w:lvlText w:val="%1."/>
      <w:lvlJc w:val="left"/>
      <w:pPr>
        <w:ind w:left="220" w:hanging="714"/>
      </w:pPr>
      <w:rPr>
        <w:rFonts w:ascii="Times New Roman" w:eastAsia="Times New Roman" w:hAnsi="Times New Roman" w:hint="default"/>
        <w:w w:val="99"/>
        <w:sz w:val="22"/>
        <w:szCs w:val="22"/>
      </w:rPr>
    </w:lvl>
    <w:lvl w:ilvl="1" w:tplc="15104B9A">
      <w:start w:val="1"/>
      <w:numFmt w:val="bullet"/>
      <w:lvlText w:val="•"/>
      <w:lvlJc w:val="left"/>
      <w:pPr>
        <w:ind w:left="1226" w:hanging="714"/>
      </w:pPr>
      <w:rPr>
        <w:rFonts w:hint="default"/>
      </w:rPr>
    </w:lvl>
    <w:lvl w:ilvl="2" w:tplc="D4567752">
      <w:start w:val="1"/>
      <w:numFmt w:val="bullet"/>
      <w:lvlText w:val="•"/>
      <w:lvlJc w:val="left"/>
      <w:pPr>
        <w:ind w:left="2232" w:hanging="714"/>
      </w:pPr>
      <w:rPr>
        <w:rFonts w:hint="default"/>
      </w:rPr>
    </w:lvl>
    <w:lvl w:ilvl="3" w:tplc="27F8C46C">
      <w:start w:val="1"/>
      <w:numFmt w:val="bullet"/>
      <w:lvlText w:val="•"/>
      <w:lvlJc w:val="left"/>
      <w:pPr>
        <w:ind w:left="3238" w:hanging="714"/>
      </w:pPr>
      <w:rPr>
        <w:rFonts w:hint="default"/>
      </w:rPr>
    </w:lvl>
    <w:lvl w:ilvl="4" w:tplc="E46CB69C">
      <w:start w:val="1"/>
      <w:numFmt w:val="bullet"/>
      <w:lvlText w:val="•"/>
      <w:lvlJc w:val="left"/>
      <w:pPr>
        <w:ind w:left="4244" w:hanging="714"/>
      </w:pPr>
      <w:rPr>
        <w:rFonts w:hint="default"/>
      </w:rPr>
    </w:lvl>
    <w:lvl w:ilvl="5" w:tplc="01C685AA">
      <w:start w:val="1"/>
      <w:numFmt w:val="bullet"/>
      <w:lvlText w:val="•"/>
      <w:lvlJc w:val="left"/>
      <w:pPr>
        <w:ind w:left="5250" w:hanging="714"/>
      </w:pPr>
      <w:rPr>
        <w:rFonts w:hint="default"/>
      </w:rPr>
    </w:lvl>
    <w:lvl w:ilvl="6" w:tplc="565211A4">
      <w:start w:val="1"/>
      <w:numFmt w:val="bullet"/>
      <w:lvlText w:val="•"/>
      <w:lvlJc w:val="left"/>
      <w:pPr>
        <w:ind w:left="6256" w:hanging="714"/>
      </w:pPr>
      <w:rPr>
        <w:rFonts w:hint="default"/>
      </w:rPr>
    </w:lvl>
    <w:lvl w:ilvl="7" w:tplc="125CDBA2">
      <w:start w:val="1"/>
      <w:numFmt w:val="bullet"/>
      <w:lvlText w:val="•"/>
      <w:lvlJc w:val="left"/>
      <w:pPr>
        <w:ind w:left="7262" w:hanging="714"/>
      </w:pPr>
      <w:rPr>
        <w:rFonts w:hint="default"/>
      </w:rPr>
    </w:lvl>
    <w:lvl w:ilvl="8" w:tplc="5402691C">
      <w:start w:val="1"/>
      <w:numFmt w:val="bullet"/>
      <w:lvlText w:val="•"/>
      <w:lvlJc w:val="left"/>
      <w:pPr>
        <w:ind w:left="8268" w:hanging="714"/>
      </w:pPr>
      <w:rPr>
        <w:rFonts w:hint="default"/>
      </w:rPr>
    </w:lvl>
  </w:abstractNum>
  <w:abstractNum w:abstractNumId="6" w15:restartNumberingAfterBreak="0">
    <w:nsid w:val="200E01D7"/>
    <w:multiLevelType w:val="hybridMultilevel"/>
    <w:tmpl w:val="702CD34C"/>
    <w:lvl w:ilvl="0" w:tplc="4AE6CCB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F6B2E"/>
    <w:multiLevelType w:val="hybridMultilevel"/>
    <w:tmpl w:val="27A44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65BF7"/>
    <w:multiLevelType w:val="hybridMultilevel"/>
    <w:tmpl w:val="B7326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61603"/>
    <w:multiLevelType w:val="hybridMultilevel"/>
    <w:tmpl w:val="29062422"/>
    <w:lvl w:ilvl="0" w:tplc="1E4E05BA">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B0756"/>
    <w:multiLevelType w:val="hybridMultilevel"/>
    <w:tmpl w:val="45089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9717E"/>
    <w:multiLevelType w:val="hybridMultilevel"/>
    <w:tmpl w:val="757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2091B"/>
    <w:multiLevelType w:val="hybridMultilevel"/>
    <w:tmpl w:val="E6DE6684"/>
    <w:lvl w:ilvl="0" w:tplc="72743E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05CD3"/>
    <w:multiLevelType w:val="hybridMultilevel"/>
    <w:tmpl w:val="CE12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C380E"/>
    <w:multiLevelType w:val="hybridMultilevel"/>
    <w:tmpl w:val="C5909F74"/>
    <w:lvl w:ilvl="0" w:tplc="6A7C9F60">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57F0B"/>
    <w:multiLevelType w:val="hybridMultilevel"/>
    <w:tmpl w:val="5BF4F49E"/>
    <w:lvl w:ilvl="0" w:tplc="0B762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A1C4F"/>
    <w:multiLevelType w:val="hybridMultilevel"/>
    <w:tmpl w:val="7D9EB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81633"/>
    <w:multiLevelType w:val="hybridMultilevel"/>
    <w:tmpl w:val="BE567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3D1C41"/>
    <w:multiLevelType w:val="hybridMultilevel"/>
    <w:tmpl w:val="6324B796"/>
    <w:lvl w:ilvl="0" w:tplc="D56410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4396C"/>
    <w:multiLevelType w:val="hybridMultilevel"/>
    <w:tmpl w:val="5CB8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C0160"/>
    <w:multiLevelType w:val="hybridMultilevel"/>
    <w:tmpl w:val="62DAC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9554F"/>
    <w:multiLevelType w:val="hybridMultilevel"/>
    <w:tmpl w:val="E1062462"/>
    <w:lvl w:ilvl="0" w:tplc="1E4E05BA">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F7E89"/>
    <w:multiLevelType w:val="hybridMultilevel"/>
    <w:tmpl w:val="62C81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95743"/>
    <w:multiLevelType w:val="hybridMultilevel"/>
    <w:tmpl w:val="FABCA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6368B"/>
    <w:multiLevelType w:val="hybridMultilevel"/>
    <w:tmpl w:val="61D20E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21"/>
  </w:num>
  <w:num w:numId="4">
    <w:abstractNumId w:val="2"/>
  </w:num>
  <w:num w:numId="5">
    <w:abstractNumId w:val="16"/>
  </w:num>
  <w:num w:numId="6">
    <w:abstractNumId w:val="14"/>
  </w:num>
  <w:num w:numId="7">
    <w:abstractNumId w:val="9"/>
  </w:num>
  <w:num w:numId="8">
    <w:abstractNumId w:val="30"/>
  </w:num>
  <w:num w:numId="9">
    <w:abstractNumId w:val="8"/>
  </w:num>
  <w:num w:numId="10">
    <w:abstractNumId w:val="17"/>
  </w:num>
  <w:num w:numId="11">
    <w:abstractNumId w:val="0"/>
  </w:num>
  <w:num w:numId="12">
    <w:abstractNumId w:val="5"/>
  </w:num>
  <w:num w:numId="13">
    <w:abstractNumId w:val="26"/>
  </w:num>
  <w:num w:numId="14">
    <w:abstractNumId w:val="15"/>
  </w:num>
  <w:num w:numId="15">
    <w:abstractNumId w:val="4"/>
  </w:num>
  <w:num w:numId="16">
    <w:abstractNumId w:val="19"/>
  </w:num>
  <w:num w:numId="17">
    <w:abstractNumId w:val="27"/>
  </w:num>
  <w:num w:numId="18">
    <w:abstractNumId w:val="7"/>
  </w:num>
  <w:num w:numId="19">
    <w:abstractNumId w:val="10"/>
  </w:num>
  <w:num w:numId="20">
    <w:abstractNumId w:val="32"/>
  </w:num>
  <w:num w:numId="21">
    <w:abstractNumId w:val="29"/>
  </w:num>
  <w:num w:numId="22">
    <w:abstractNumId w:val="13"/>
  </w:num>
  <w:num w:numId="23">
    <w:abstractNumId w:val="3"/>
  </w:num>
  <w:num w:numId="24">
    <w:abstractNumId w:val="6"/>
  </w:num>
  <w:num w:numId="25">
    <w:abstractNumId w:val="1"/>
  </w:num>
  <w:num w:numId="26">
    <w:abstractNumId w:val="18"/>
  </w:num>
  <w:num w:numId="27">
    <w:abstractNumId w:val="25"/>
  </w:num>
  <w:num w:numId="28">
    <w:abstractNumId w:val="22"/>
  </w:num>
  <w:num w:numId="29">
    <w:abstractNumId w:val="28"/>
  </w:num>
  <w:num w:numId="30">
    <w:abstractNumId w:val="33"/>
  </w:num>
  <w:num w:numId="31">
    <w:abstractNumId w:val="24"/>
  </w:num>
  <w:num w:numId="32">
    <w:abstractNumId w:val="11"/>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yRtokP77SlHWQkFWQIWgSdq5hRwmHIXw3uh+RsmIE6BEGjB7X04eH29WYtRtfVE2usNO/TIVsEObS8ZNHa3EQ==" w:salt="NCuLHRgDtBHQ7zts2KW4c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623A9"/>
    <w:rsid w:val="000B55FF"/>
    <w:rsid w:val="000B7AFD"/>
    <w:rsid w:val="000C6827"/>
    <w:rsid w:val="000E5637"/>
    <w:rsid w:val="00150191"/>
    <w:rsid w:val="0018130C"/>
    <w:rsid w:val="001A7200"/>
    <w:rsid w:val="001F642B"/>
    <w:rsid w:val="00217E80"/>
    <w:rsid w:val="0025781B"/>
    <w:rsid w:val="002851C5"/>
    <w:rsid w:val="003111A9"/>
    <w:rsid w:val="00321071"/>
    <w:rsid w:val="0033155E"/>
    <w:rsid w:val="003D6B34"/>
    <w:rsid w:val="00410550"/>
    <w:rsid w:val="004151CA"/>
    <w:rsid w:val="00422846"/>
    <w:rsid w:val="0043545E"/>
    <w:rsid w:val="00441CAE"/>
    <w:rsid w:val="004F209A"/>
    <w:rsid w:val="00533069"/>
    <w:rsid w:val="006105D3"/>
    <w:rsid w:val="00690EB7"/>
    <w:rsid w:val="00697660"/>
    <w:rsid w:val="006F7051"/>
    <w:rsid w:val="007137E8"/>
    <w:rsid w:val="007378D8"/>
    <w:rsid w:val="007D18A9"/>
    <w:rsid w:val="00811DEB"/>
    <w:rsid w:val="00814099"/>
    <w:rsid w:val="008924DE"/>
    <w:rsid w:val="009455DF"/>
    <w:rsid w:val="00A21908"/>
    <w:rsid w:val="00AE2566"/>
    <w:rsid w:val="00AE3084"/>
    <w:rsid w:val="00AF3782"/>
    <w:rsid w:val="00BB12E5"/>
    <w:rsid w:val="00BD44B7"/>
    <w:rsid w:val="00C35D1B"/>
    <w:rsid w:val="00C55C3D"/>
    <w:rsid w:val="00C93E2F"/>
    <w:rsid w:val="00D12EA8"/>
    <w:rsid w:val="00D515AB"/>
    <w:rsid w:val="00DC1D70"/>
    <w:rsid w:val="00DC1DAA"/>
    <w:rsid w:val="00DE1390"/>
    <w:rsid w:val="00EC0595"/>
    <w:rsid w:val="00EF101E"/>
    <w:rsid w:val="00F10109"/>
    <w:rsid w:val="00F47266"/>
    <w:rsid w:val="00F55573"/>
    <w:rsid w:val="00F5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69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60"/>
  </w:style>
  <w:style w:type="paragraph" w:styleId="Footer">
    <w:name w:val="footer"/>
    <w:basedOn w:val="Normal"/>
    <w:link w:val="FooterChar"/>
    <w:uiPriority w:val="99"/>
    <w:unhideWhenUsed/>
    <w:rsid w:val="0069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60"/>
  </w:style>
  <w:style w:type="paragraph" w:styleId="BodyText">
    <w:name w:val="Body Text"/>
    <w:basedOn w:val="Normal"/>
    <w:link w:val="BodyTextChar"/>
    <w:uiPriority w:val="1"/>
    <w:qFormat/>
    <w:rsid w:val="00150191"/>
    <w:pPr>
      <w:widowControl w:val="0"/>
      <w:spacing w:after="0" w:line="240" w:lineRule="auto"/>
      <w:ind w:left="2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150191"/>
    <w:rPr>
      <w:rFonts w:ascii="Times New Roman" w:eastAsia="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4405-D546-463A-B717-713F719F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461</Words>
  <Characters>2628</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29</cp:revision>
  <dcterms:created xsi:type="dcterms:W3CDTF">2018-06-04T13:56:00Z</dcterms:created>
  <dcterms:modified xsi:type="dcterms:W3CDTF">2019-06-12T19:30:00Z</dcterms:modified>
</cp:coreProperties>
</file>